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79" w:rsidRPr="007534D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</w:rPr>
      </w:pPr>
    </w:p>
    <w:p w:rsidR="00F3321F" w:rsidRPr="00E411AE" w:rsidRDefault="00F3321F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362179" w:rsidRPr="00E411AE" w:rsidRDefault="003621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F7679" w:rsidRPr="00E411AE" w:rsidRDefault="00FF309B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sz w:val="44"/>
          <w:szCs w:val="44"/>
          <w:lang w:val="el-GR"/>
        </w:rPr>
      </w:pPr>
      <w:r w:rsidRPr="00E411AE">
        <w:rPr>
          <w:rFonts w:ascii="Calibri" w:hAnsi="Calibri" w:cs="Calibri"/>
          <w:color w:val="auto"/>
          <w:sz w:val="44"/>
          <w:szCs w:val="44"/>
          <w:lang w:val="el-GR"/>
        </w:rPr>
        <w:t>ΜΗΝΙΑΙΑ ΕΚΘΕΣΗ ΕΓΓΕΓΡΑΜΜΕΝΗΣ ΑΝΕΡΓΙΑΣ</w:t>
      </w:r>
      <w:r w:rsidR="00FF7679" w:rsidRPr="00E411AE">
        <w:rPr>
          <w:rFonts w:ascii="Calibri" w:hAnsi="Calibri" w:cs="Calibri"/>
          <w:color w:val="auto"/>
          <w:sz w:val="44"/>
          <w:szCs w:val="44"/>
          <w:lang w:val="el-GR"/>
        </w:rPr>
        <w:t xml:space="preserve"> </w:t>
      </w:r>
      <w:r w:rsidR="00CF5E90">
        <w:rPr>
          <w:rFonts w:ascii="Calibri" w:hAnsi="Calibri" w:cs="Calibri"/>
          <w:color w:val="auto"/>
          <w:sz w:val="44"/>
          <w:szCs w:val="44"/>
          <w:lang w:val="el-GR"/>
        </w:rPr>
        <w:t>ΑΠΡΙΛΙΟΥ</w:t>
      </w:r>
      <w:r w:rsidR="00A47DEA" w:rsidRPr="00E411AE">
        <w:rPr>
          <w:rFonts w:ascii="Calibri" w:hAnsi="Calibri" w:cs="Calibri"/>
          <w:color w:val="auto"/>
          <w:sz w:val="44"/>
          <w:szCs w:val="44"/>
          <w:lang w:val="el-GR"/>
        </w:rPr>
        <w:t xml:space="preserve"> 20</w:t>
      </w:r>
      <w:r w:rsidR="0005381F">
        <w:rPr>
          <w:rFonts w:ascii="Calibri" w:hAnsi="Calibri" w:cs="Calibri"/>
          <w:color w:val="auto"/>
          <w:sz w:val="44"/>
          <w:szCs w:val="44"/>
          <w:lang w:val="el-GR"/>
        </w:rPr>
        <w:t>20</w:t>
      </w: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F3321F" w:rsidRPr="00E411AE" w:rsidRDefault="00F3321F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9417D8" w:rsidRPr="00E411AE" w:rsidRDefault="009417D8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sz w:val="32"/>
          <w:szCs w:val="32"/>
          <w:lang w:val="el-GR"/>
        </w:rPr>
      </w:pPr>
      <w:r w:rsidRPr="00E411AE">
        <w:rPr>
          <w:rFonts w:ascii="Calibri" w:hAnsi="Calibri" w:cs="Calibri"/>
          <w:color w:val="auto"/>
          <w:sz w:val="32"/>
          <w:szCs w:val="32"/>
          <w:lang w:val="el-GR"/>
        </w:rPr>
        <w:t>ΠΑΡΑΤΗΡΗΤΗΡΙΟ ΑΓΟΡΑΣ ΕΡΓΑΣΙΑΣ</w:t>
      </w: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sz w:val="32"/>
          <w:szCs w:val="32"/>
          <w:lang w:val="el-GR"/>
        </w:rPr>
      </w:pPr>
      <w:r w:rsidRPr="00E411AE">
        <w:rPr>
          <w:rFonts w:ascii="Calibri" w:hAnsi="Calibri" w:cs="Calibri"/>
          <w:color w:val="auto"/>
          <w:sz w:val="32"/>
          <w:szCs w:val="32"/>
          <w:lang w:val="el-GR"/>
        </w:rPr>
        <w:t xml:space="preserve"> ΤΜΗΜΑ ΕΡΓΑΣΙΑΣ</w:t>
      </w: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3321F" w:rsidRPr="00E411AE" w:rsidRDefault="00F3321F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3321F" w:rsidRPr="00E411AE" w:rsidRDefault="00F3321F">
      <w:pPr>
        <w:rPr>
          <w:rFonts w:ascii="Calibri" w:hAnsi="Calibri" w:cs="Calibri"/>
          <w:color w:val="auto"/>
          <w:sz w:val="22"/>
          <w:szCs w:val="22"/>
          <w:u w:val="single"/>
          <w:lang w:val="el-GR"/>
        </w:rPr>
      </w:pPr>
      <w:r w:rsidRPr="00E411AE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br w:type="page"/>
      </w:r>
    </w:p>
    <w:p w:rsidR="00FF7679" w:rsidRPr="00E411AE" w:rsidRDefault="00FF7679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color w:val="auto"/>
          <w:u w:val="single"/>
          <w:lang w:val="el-GR"/>
        </w:rPr>
      </w:pPr>
    </w:p>
    <w:p w:rsidR="00FF7679" w:rsidRPr="00E411AE" w:rsidRDefault="009417D8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color w:val="auto"/>
          <w:u w:val="single"/>
          <w:lang w:val="el-GR"/>
        </w:rPr>
      </w:pPr>
      <w:r w:rsidRPr="00E411AE">
        <w:rPr>
          <w:rFonts w:ascii="Calibri" w:hAnsi="Calibri" w:cs="Calibri"/>
          <w:color w:val="auto"/>
          <w:sz w:val="28"/>
          <w:szCs w:val="28"/>
          <w:u w:val="single"/>
          <w:lang w:val="el-GR"/>
        </w:rPr>
        <w:t>ΠΕΡΙΕΧΟΜΕΝΑ</w:t>
      </w:r>
      <w:r w:rsidR="00FF7679" w:rsidRPr="00E411AE">
        <w:rPr>
          <w:rFonts w:ascii="Calibri" w:hAnsi="Calibri" w:cs="Calibri"/>
          <w:color w:val="auto"/>
          <w:u w:val="single"/>
          <w:lang w:val="el-GR"/>
        </w:rPr>
        <w:t>:</w:t>
      </w:r>
    </w:p>
    <w:p w:rsidR="00FF7679" w:rsidRPr="00E411AE" w:rsidRDefault="00561E40" w:rsidP="000C4A6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color w:val="auto"/>
          <w:lang w:val="el-GR"/>
        </w:rPr>
        <w:t>ΚΕΦΑΛΑΙΟ</w:t>
      </w:r>
      <w:r w:rsidR="00FF7679" w:rsidRPr="00E411AE">
        <w:rPr>
          <w:rFonts w:ascii="Calibri" w:hAnsi="Calibri" w:cs="Calibri"/>
          <w:color w:val="auto"/>
          <w:lang w:val="el-GR"/>
        </w:rPr>
        <w:t xml:space="preserve"> Ι:</w:t>
      </w:r>
      <w:r w:rsidR="00FF7679" w:rsidRPr="00E411AE">
        <w:rPr>
          <w:rFonts w:ascii="Calibri" w:hAnsi="Calibri" w:cs="Calibri"/>
          <w:b w:val="0"/>
          <w:bCs w:val="0"/>
          <w:color w:val="auto"/>
          <w:lang w:val="el-GR"/>
        </w:rPr>
        <w:t xml:space="preserve"> </w:t>
      </w:r>
      <w:r w:rsidR="00A3538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ΕΞΕΛΙΞΕΙΣ ΣΤΗΝ ΑΓΟΡΑ ΕΡΓΑΣΙΑΣ ΚΑΙ </w:t>
      </w:r>
      <w:r w:rsidR="003E45D7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</w:t>
      </w:r>
      <w:r w:rsidR="000C4A6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ΝΑΛΥΣΗ ΕΓΓΕΓΡΑΜΜΕΝΗΣ</w:t>
      </w:r>
      <w:r w:rsidR="000C4A6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="000C4A6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="000C4A6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="0080024C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  <w:r w:rsidR="00A3538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ΑΝΕΡΓΙΑΣ</w:t>
      </w:r>
      <w:r w:rsidR="00994C4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–</w:t>
      </w:r>
      <w:r w:rsidR="00DF0B6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  <w:r w:rsidR="00CF5E90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ΑΠΡΙΛΙΟΣ</w:t>
      </w:r>
      <w:r w:rsidR="0005381F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2020</w:t>
      </w:r>
    </w:p>
    <w:p w:rsidR="00E411AE" w:rsidRDefault="00561E40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color w:val="auto"/>
          <w:lang w:val="el-GR"/>
        </w:rPr>
        <w:t>ΚΕΦΑΛΑΙΟ</w:t>
      </w:r>
      <w:r w:rsidR="00A35385" w:rsidRPr="00E411AE">
        <w:rPr>
          <w:rFonts w:ascii="Calibri" w:hAnsi="Calibri" w:cs="Calibri"/>
          <w:color w:val="auto"/>
          <w:lang w:val="el-GR"/>
        </w:rPr>
        <w:t xml:space="preserve"> ΙΙ</w:t>
      </w:r>
      <w:r w:rsidR="00FF7679" w:rsidRPr="00E411AE">
        <w:rPr>
          <w:rFonts w:ascii="Calibri" w:hAnsi="Calibri" w:cs="Calibri"/>
          <w:color w:val="auto"/>
          <w:lang w:val="el-GR"/>
        </w:rPr>
        <w:t>:</w:t>
      </w:r>
      <w:r w:rsidR="00FF7679" w:rsidRPr="00E411AE">
        <w:rPr>
          <w:rFonts w:ascii="Calibri" w:hAnsi="Calibri" w:cs="Calibri"/>
          <w:b w:val="0"/>
          <w:bCs w:val="0"/>
          <w:color w:val="auto"/>
          <w:lang w:val="el-GR"/>
        </w:rPr>
        <w:t xml:space="preserve"> </w:t>
      </w:r>
      <w:r w:rsidR="00A3538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ΠΡΟΦΙΛ </w:t>
      </w:r>
      <w:r w:rsidR="00DD4AF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ΜΑΚΡΟΧΡΟΝΙΑ ΕΓΓΕΓΡΑΜΜΕΝΩΝ </w:t>
      </w:r>
      <w:r w:rsidR="00FF767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</w:t>
      </w:r>
      <w:r w:rsidR="00A3538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ΝΕΡΓΩΝ</w:t>
      </w:r>
      <w:r w:rsidR="00994C4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  <w:r w:rsid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–</w:t>
      </w:r>
      <w:r w:rsidR="00C630E4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</w:p>
    <w:p w:rsidR="00FF7679" w:rsidRPr="00E411AE" w:rsidRDefault="0005381F" w:rsidP="00E411AE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 w:firstLine="540"/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              </w:t>
      </w:r>
      <w:r w:rsidR="00CF5E90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ΑΠΡΙΛΙΟΣ</w:t>
      </w:r>
      <w:r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2020</w:t>
      </w:r>
    </w:p>
    <w:p w:rsidR="004B4B73" w:rsidRPr="00E411AE" w:rsidRDefault="004B4B73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b w:val="0"/>
          <w:bCs w:val="0"/>
          <w:color w:val="auto"/>
          <w:lang w:val="el-GR"/>
        </w:rPr>
      </w:pPr>
      <w:r w:rsidRPr="00E411AE">
        <w:rPr>
          <w:rFonts w:ascii="Calibri" w:hAnsi="Calibri" w:cs="Calibri"/>
          <w:color w:val="auto"/>
          <w:lang w:val="el-GR"/>
        </w:rPr>
        <w:t>ΣΤΑΤΙΣΤΙΚΟΙ ΠΙΝΑΚΕΣ</w:t>
      </w:r>
    </w:p>
    <w:p w:rsidR="00FF7679" w:rsidRPr="00E411AE" w:rsidRDefault="00FF7679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FF7679" w:rsidRPr="00E411AE" w:rsidRDefault="00FF7679" w:rsidP="00FF7679">
      <w:pPr>
        <w:pStyle w:val="ListParagraph"/>
        <w:spacing w:after="200" w:line="276" w:lineRule="auto"/>
        <w:ind w:left="1980" w:hanging="1800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FF7679" w:rsidRPr="00E411AE" w:rsidRDefault="00FF7679" w:rsidP="00FF7679">
      <w:pPr>
        <w:spacing w:line="276" w:lineRule="auto"/>
        <w:rPr>
          <w:rFonts w:ascii="Calibri" w:hAnsi="Calibri" w:cs="Calibri"/>
          <w:b w:val="0"/>
          <w:bCs w:val="0"/>
          <w:color w:val="auto"/>
          <w:sz w:val="20"/>
          <w:szCs w:val="20"/>
          <w:lang w:val="el-GR"/>
        </w:rPr>
      </w:pPr>
    </w:p>
    <w:p w:rsidR="00FF7679" w:rsidRPr="00E411AE" w:rsidRDefault="00FF7679">
      <w:pP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FF7679" w:rsidRPr="00E411AE" w:rsidRDefault="00FF7679">
      <w:pP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br w:type="page"/>
      </w:r>
    </w:p>
    <w:p w:rsidR="00D90A94" w:rsidRPr="00E411AE" w:rsidRDefault="00D90A94" w:rsidP="007C5573">
      <w:pPr>
        <w:spacing w:line="276" w:lineRule="auto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lastRenderedPageBreak/>
        <w:t xml:space="preserve">Αρ. Φακ. 9.41.2.1 </w:t>
      </w:r>
    </w:p>
    <w:p w:rsidR="004274B3" w:rsidRPr="00E411AE" w:rsidRDefault="00D90A94" w:rsidP="00FF7679">
      <w:pPr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Α/Α</w:t>
      </w:r>
      <w:r w:rsidR="0005381F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0</w:t>
      </w:r>
      <w:r w:rsidR="00CF5E90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4</w:t>
      </w:r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/20</w:t>
      </w:r>
      <w:r w:rsidR="0005381F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20</w:t>
      </w:r>
      <w:r w:rsidR="004274B3" w:rsidRPr="00E411AE">
        <w:rPr>
          <w:rFonts w:ascii="Calibri" w:hAnsi="Calibri" w:cs="Calibri"/>
          <w:color w:val="auto"/>
          <w:lang w:val="el-GR"/>
        </w:rPr>
        <w:t xml:space="preserve"> </w:t>
      </w:r>
    </w:p>
    <w:p w:rsidR="004274B3" w:rsidRPr="00E411AE" w:rsidRDefault="004274B3" w:rsidP="0067480F">
      <w:pPr>
        <w:spacing w:line="276" w:lineRule="auto"/>
        <w:rPr>
          <w:rFonts w:ascii="Calibri" w:hAnsi="Calibri" w:cs="Calibri"/>
          <w:noProof/>
          <w:color w:val="auto"/>
          <w:sz w:val="16"/>
          <w:szCs w:val="16"/>
          <w:lang w:val="el-GR"/>
        </w:rPr>
      </w:pPr>
    </w:p>
    <w:p w:rsidR="00FF2BEF" w:rsidRPr="00E411AE" w:rsidRDefault="00561E40" w:rsidP="002B702C">
      <w:pPr>
        <w:pStyle w:val="ListParagraph"/>
        <w:pBdr>
          <w:top w:val="thinThickLargeGap" w:sz="24" w:space="0" w:color="1F497D" w:shadow="1"/>
          <w:left w:val="thinThickLargeGap" w:sz="24" w:space="28" w:color="1F497D" w:shadow="1"/>
          <w:bottom w:val="thinThickLargeGap" w:sz="24" w:space="0" w:color="1F497D" w:shadow="1"/>
          <w:right w:val="thinThickLargeGap" w:sz="24" w:space="0" w:color="1F497D" w:shadow="1"/>
        </w:pBdr>
        <w:shd w:val="clear" w:color="auto" w:fill="E5B8B7"/>
        <w:spacing w:after="200" w:line="276" w:lineRule="auto"/>
        <w:rPr>
          <w:rFonts w:ascii="Calibri" w:hAnsi="Calibri" w:cs="Calibri"/>
          <w:b w:val="0"/>
          <w:bCs w:val="0"/>
          <w:color w:val="auto"/>
          <w:lang w:val="el-GR"/>
        </w:rPr>
      </w:pPr>
      <w:r w:rsidRPr="00E411AE">
        <w:rPr>
          <w:rFonts w:ascii="Calibri" w:hAnsi="Calibri" w:cs="Calibri"/>
          <w:color w:val="auto"/>
          <w:u w:val="single"/>
          <w:lang w:val="el-GR"/>
        </w:rPr>
        <w:t>ΚΕΦΑΛΑΙΟ</w:t>
      </w:r>
      <w:r w:rsidR="004274B3" w:rsidRPr="00E411AE">
        <w:rPr>
          <w:rFonts w:ascii="Calibri" w:hAnsi="Calibri" w:cs="Calibri"/>
          <w:color w:val="auto"/>
          <w:u w:val="single"/>
          <w:lang w:val="el-GR"/>
        </w:rPr>
        <w:t xml:space="preserve"> Ι</w:t>
      </w:r>
      <w:r w:rsidR="00A35385" w:rsidRPr="00E411AE">
        <w:rPr>
          <w:rFonts w:ascii="Calibri" w:hAnsi="Calibri" w:cs="Calibri"/>
          <w:b w:val="0"/>
          <w:bCs w:val="0"/>
          <w:color w:val="auto"/>
          <w:lang w:val="el-GR"/>
        </w:rPr>
        <w:t xml:space="preserve"> :</w:t>
      </w:r>
    </w:p>
    <w:p w:rsidR="00A35385" w:rsidRPr="00E411AE" w:rsidRDefault="00A35385" w:rsidP="002B702C">
      <w:pPr>
        <w:pStyle w:val="ListParagraph"/>
        <w:pBdr>
          <w:top w:val="thinThickLargeGap" w:sz="24" w:space="0" w:color="1F497D" w:shadow="1"/>
          <w:left w:val="thinThickLargeGap" w:sz="24" w:space="28" w:color="1F497D" w:shadow="1"/>
          <w:bottom w:val="thinThickLargeGap" w:sz="24" w:space="0" w:color="1F497D" w:shadow="1"/>
          <w:right w:val="thinThickLargeGap" w:sz="24" w:space="0" w:color="1F497D" w:shadow="1"/>
        </w:pBdr>
        <w:shd w:val="clear" w:color="auto" w:fill="E5B8B7"/>
        <w:spacing w:after="200" w:line="276" w:lineRule="auto"/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ΕΞΕΛΙΞΕΙΣ ΣΤΗΝ ΑΓΟΡΑ ΕΡΓΑΣΙΑΣ ΚΑΙ ΑΝΑΛΥΣΗ ΕΓΓΕΓΡΑΜΜΕΝΗΣ ΑΝΕΡΓΙΑΣ- </w:t>
      </w:r>
      <w:r w:rsidR="00CF5E90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ΑΠΡΙΛΙΟΣ</w:t>
      </w:r>
      <w:r w:rsidR="0005381F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2020</w:t>
      </w:r>
    </w:p>
    <w:p w:rsidR="00D90A94" w:rsidRPr="00E411AE" w:rsidRDefault="00D90A94" w:rsidP="008F7757">
      <w:pPr>
        <w:spacing w:line="276" w:lineRule="auto"/>
        <w:rPr>
          <w:rFonts w:ascii="Calibri" w:hAnsi="Calibri" w:cs="Calibri"/>
          <w:b w:val="0"/>
          <w:bCs w:val="0"/>
          <w:color w:val="auto"/>
          <w:sz w:val="16"/>
          <w:szCs w:val="16"/>
          <w:lang w:val="el-GR"/>
        </w:rPr>
      </w:pPr>
    </w:p>
    <w:p w:rsidR="00D47120" w:rsidRPr="00E411AE" w:rsidRDefault="00D47120" w:rsidP="00D47120">
      <w:pPr>
        <w:pStyle w:val="ListParagraph"/>
        <w:shd w:val="clear" w:color="auto" w:fill="E5B8B7"/>
        <w:spacing w:line="276" w:lineRule="auto"/>
        <w:ind w:left="0"/>
        <w:jc w:val="both"/>
        <w:rPr>
          <w:rFonts w:ascii="Calibri" w:hAnsi="Calibri" w:cs="Calibri"/>
          <w:b w:val="0"/>
          <w:bCs w:val="0"/>
          <w:color w:val="auto"/>
          <w:lang w:val="el-GR"/>
        </w:rPr>
      </w:pPr>
      <w:r w:rsidRPr="00E411AE">
        <w:rPr>
          <w:rFonts w:ascii="Calibri" w:hAnsi="Calibri" w:cs="Calibri"/>
          <w:color w:val="auto"/>
          <w:lang w:val="el-GR"/>
        </w:rPr>
        <w:t>Α.</w:t>
      </w:r>
      <w:r w:rsidRPr="00E411AE">
        <w:rPr>
          <w:rFonts w:ascii="Calibri" w:hAnsi="Calibri" w:cs="Calibri"/>
          <w:color w:val="auto"/>
          <w:lang w:val="el-GR"/>
        </w:rPr>
        <w:tab/>
      </w:r>
      <w:r w:rsidRPr="00E411AE">
        <w:rPr>
          <w:rFonts w:ascii="Calibri" w:hAnsi="Calibri" w:cs="Calibri"/>
          <w:bCs w:val="0"/>
          <w:caps/>
          <w:color w:val="auto"/>
          <w:lang w:val="el-GR"/>
        </w:rPr>
        <w:t>Γενική Κατάσταση της Αγοράς Εργασίας</w:t>
      </w:r>
    </w:p>
    <w:p w:rsidR="00D47120" w:rsidRPr="00E411AE" w:rsidRDefault="00D47120" w:rsidP="00293A29">
      <w:pPr>
        <w:pStyle w:val="ListParagraph"/>
        <w:spacing w:line="276" w:lineRule="auto"/>
        <w:ind w:left="0"/>
        <w:jc w:val="both"/>
        <w:rPr>
          <w:rFonts w:ascii="Calibri" w:hAnsi="Calibri" w:cs="Calibri"/>
          <w:bCs w:val="0"/>
          <w:color w:val="auto"/>
          <w:lang w:val="el-GR"/>
        </w:rPr>
      </w:pPr>
    </w:p>
    <w:p w:rsidR="00C00084" w:rsidRPr="00E411AE" w:rsidRDefault="00C00084" w:rsidP="00293A29">
      <w:pPr>
        <w:pStyle w:val="ListParagraph"/>
        <w:spacing w:line="276" w:lineRule="auto"/>
        <w:ind w:left="0"/>
        <w:jc w:val="both"/>
        <w:rPr>
          <w:rFonts w:ascii="Calibri" w:hAnsi="Calibri" w:cs="Calibri"/>
          <w:b w:val="0"/>
          <w:bCs w:val="0"/>
          <w:color w:val="auto"/>
          <w:sz w:val="16"/>
          <w:szCs w:val="16"/>
          <w:lang w:val="el-GR"/>
        </w:rPr>
      </w:pPr>
    </w:p>
    <w:p w:rsidR="007534DE" w:rsidRPr="00D60C9A" w:rsidRDefault="007534DE" w:rsidP="00376052">
      <w:pPr>
        <w:pStyle w:val="ListParagraph"/>
        <w:spacing w:line="276" w:lineRule="auto"/>
        <w:ind w:left="0"/>
        <w:jc w:val="both"/>
        <w:rPr>
          <w:rFonts w:ascii="Calibri" w:hAnsi="Calibri" w:cs="Calibri"/>
          <w:b w:val="0"/>
          <w:bCs w:val="0"/>
          <w:color w:val="FF0000"/>
          <w:sz w:val="22"/>
          <w:szCs w:val="22"/>
          <w:lang w:val="el-GR"/>
        </w:rPr>
      </w:pPr>
      <w:r w:rsidRPr="00D60C9A">
        <w:rPr>
          <w:rFonts w:ascii="Calibri" w:hAnsi="Calibri" w:cs="Calibri"/>
          <w:b w:val="0"/>
          <w:bCs w:val="0"/>
          <w:color w:val="FF0000"/>
          <w:sz w:val="22"/>
          <w:szCs w:val="22"/>
          <w:lang w:val="el-GR"/>
        </w:rPr>
        <w:t>Η Κύπρος εξήλθε της οικονομικής κρίσης το 2015 όπου οι οικονομικοί δείκτες άρχισαν να παρουσιάζουν σταθερή βελτίωση και η οικονομία να</w:t>
      </w:r>
      <w:r w:rsidR="00AB3D54" w:rsidRPr="00D60C9A">
        <w:rPr>
          <w:rFonts w:ascii="Calibri" w:hAnsi="Calibri" w:cs="Calibri"/>
          <w:b w:val="0"/>
          <w:bCs w:val="0"/>
          <w:color w:val="FF0000"/>
          <w:sz w:val="22"/>
          <w:szCs w:val="22"/>
          <w:lang w:val="el-GR"/>
        </w:rPr>
        <w:t xml:space="preserve"> α</w:t>
      </w:r>
      <w:r w:rsidR="00F9769B" w:rsidRPr="00D60C9A">
        <w:rPr>
          <w:rFonts w:ascii="Calibri" w:hAnsi="Calibri" w:cs="Calibri"/>
          <w:b w:val="0"/>
          <w:bCs w:val="0"/>
          <w:color w:val="FF0000"/>
          <w:sz w:val="22"/>
          <w:szCs w:val="22"/>
          <w:lang w:val="el-GR"/>
        </w:rPr>
        <w:t>να</w:t>
      </w:r>
      <w:r w:rsidR="00AB3D54" w:rsidRPr="00D60C9A">
        <w:rPr>
          <w:rFonts w:ascii="Calibri" w:hAnsi="Calibri" w:cs="Calibri"/>
          <w:b w:val="0"/>
          <w:bCs w:val="0"/>
          <w:color w:val="FF0000"/>
          <w:sz w:val="22"/>
          <w:szCs w:val="22"/>
          <w:lang w:val="el-GR"/>
        </w:rPr>
        <w:t>κάμπτει</w:t>
      </w:r>
      <w:r w:rsidRPr="00D60C9A">
        <w:rPr>
          <w:rFonts w:ascii="Calibri" w:hAnsi="Calibri" w:cs="Calibri"/>
          <w:b w:val="0"/>
          <w:bCs w:val="0"/>
          <w:color w:val="FF0000"/>
          <w:sz w:val="22"/>
          <w:szCs w:val="22"/>
          <w:lang w:val="el-GR"/>
        </w:rPr>
        <w:t>. Η ποσοστιαία μεταβολή του ΑΕΠ κατά τα έτη 2015-2019 κατέγραψαν θετικό πρόσημο, αρχίζοντας με ανάπτυξη</w:t>
      </w:r>
      <w:r w:rsidR="00A668AA" w:rsidRPr="00D60C9A">
        <w:rPr>
          <w:rFonts w:ascii="Calibri" w:hAnsi="Calibri" w:cs="Calibri"/>
          <w:b w:val="0"/>
          <w:bCs w:val="0"/>
          <w:color w:val="FF0000"/>
          <w:sz w:val="22"/>
          <w:szCs w:val="22"/>
          <w:lang w:val="el-GR"/>
        </w:rPr>
        <w:t xml:space="preserve"> 2%</w:t>
      </w:r>
      <w:r w:rsidRPr="00D60C9A">
        <w:rPr>
          <w:rFonts w:ascii="Calibri" w:hAnsi="Calibri" w:cs="Calibri"/>
          <w:b w:val="0"/>
          <w:bCs w:val="0"/>
          <w:color w:val="FF0000"/>
          <w:sz w:val="22"/>
          <w:szCs w:val="22"/>
          <w:lang w:val="el-GR"/>
        </w:rPr>
        <w:t xml:space="preserve"> το 2015 και φτάνοντας </w:t>
      </w:r>
      <w:r w:rsidR="00A668AA" w:rsidRPr="00D60C9A">
        <w:rPr>
          <w:rFonts w:ascii="Calibri" w:hAnsi="Calibri" w:cs="Calibri"/>
          <w:b w:val="0"/>
          <w:bCs w:val="0"/>
          <w:color w:val="FF0000"/>
          <w:sz w:val="22"/>
          <w:szCs w:val="22"/>
          <w:lang w:val="el-GR"/>
        </w:rPr>
        <w:t>σε</w:t>
      </w:r>
      <w:r w:rsidRPr="00D60C9A">
        <w:rPr>
          <w:rFonts w:ascii="Calibri" w:hAnsi="Calibri" w:cs="Calibri"/>
          <w:b w:val="0"/>
          <w:bCs w:val="0"/>
          <w:color w:val="FF0000"/>
          <w:sz w:val="22"/>
          <w:szCs w:val="22"/>
          <w:lang w:val="el-GR"/>
        </w:rPr>
        <w:t xml:space="preserve"> 3,8%</w:t>
      </w:r>
      <w:r w:rsidR="00A668AA" w:rsidRPr="00D60C9A">
        <w:rPr>
          <w:rFonts w:ascii="Calibri" w:hAnsi="Calibri" w:cs="Calibri"/>
          <w:b w:val="0"/>
          <w:bCs w:val="0"/>
          <w:color w:val="FF0000"/>
          <w:sz w:val="22"/>
          <w:szCs w:val="22"/>
          <w:lang w:val="el-GR"/>
        </w:rPr>
        <w:t xml:space="preserve"> </w:t>
      </w:r>
      <w:r w:rsidR="00A668AA" w:rsidRPr="00D60C9A">
        <w:rPr>
          <w:rFonts w:ascii="Calibri" w:hAnsi="Calibri" w:cs="Calibri"/>
          <w:b w:val="0"/>
          <w:bCs w:val="0"/>
          <w:color w:val="FF0000"/>
          <w:sz w:val="22"/>
          <w:szCs w:val="22"/>
          <w:lang w:val="el-GR"/>
        </w:rPr>
        <w:t>το 2018</w:t>
      </w:r>
      <w:r w:rsidRPr="00D60C9A">
        <w:rPr>
          <w:rFonts w:ascii="Calibri" w:hAnsi="Calibri" w:cs="Calibri"/>
          <w:b w:val="0"/>
          <w:bCs w:val="0"/>
          <w:color w:val="FF0000"/>
          <w:sz w:val="22"/>
          <w:szCs w:val="22"/>
          <w:lang w:val="el-GR"/>
        </w:rPr>
        <w:t xml:space="preserve">. </w:t>
      </w:r>
    </w:p>
    <w:p w:rsidR="00D038BD" w:rsidRPr="00D60C9A" w:rsidRDefault="00D038BD" w:rsidP="00376052">
      <w:pPr>
        <w:pStyle w:val="ListParagraph"/>
        <w:spacing w:line="276" w:lineRule="auto"/>
        <w:ind w:left="0"/>
        <w:jc w:val="both"/>
        <w:rPr>
          <w:rFonts w:ascii="Calibri" w:hAnsi="Calibri" w:cs="Calibri"/>
          <w:b w:val="0"/>
          <w:bCs w:val="0"/>
          <w:color w:val="FF0000"/>
          <w:sz w:val="22"/>
          <w:szCs w:val="22"/>
          <w:lang w:val="el-GR"/>
        </w:rPr>
      </w:pPr>
    </w:p>
    <w:p w:rsidR="007534DE" w:rsidRPr="00D60C9A" w:rsidRDefault="007534DE" w:rsidP="00376052">
      <w:pPr>
        <w:pStyle w:val="ListParagraph"/>
        <w:spacing w:line="276" w:lineRule="auto"/>
        <w:ind w:left="0"/>
        <w:jc w:val="both"/>
        <w:rPr>
          <w:rFonts w:ascii="Calibri" w:hAnsi="Calibri" w:cs="Calibri"/>
          <w:b w:val="0"/>
          <w:bCs w:val="0"/>
          <w:color w:val="FF0000"/>
          <w:sz w:val="22"/>
          <w:szCs w:val="22"/>
          <w:lang w:val="el-GR"/>
        </w:rPr>
      </w:pPr>
      <w:r w:rsidRPr="00D60C9A">
        <w:rPr>
          <w:rFonts w:ascii="Calibri" w:hAnsi="Calibri" w:cs="Calibri"/>
          <w:b w:val="0"/>
          <w:bCs w:val="0"/>
          <w:color w:val="FF0000"/>
          <w:sz w:val="22"/>
          <w:szCs w:val="22"/>
          <w:lang w:val="el-GR"/>
        </w:rPr>
        <w:t>Μετά την εκτόξευση της ανεργίας, με το ψηλότερο σημείο της να καταγράφεται το 2014 (16,1%), η πορεία αποκλιμάκωσης της ήταν σταθερή από το 2015 (14,9%) και μετέπειτα και έφτασε στο μισό το 2019 (7,1%).</w:t>
      </w:r>
    </w:p>
    <w:p w:rsidR="00D038BD" w:rsidRPr="00D60C9A" w:rsidRDefault="00D038BD" w:rsidP="00376052">
      <w:pPr>
        <w:pStyle w:val="ListParagraph"/>
        <w:spacing w:line="276" w:lineRule="auto"/>
        <w:ind w:left="0"/>
        <w:jc w:val="both"/>
        <w:rPr>
          <w:rFonts w:ascii="Calibri" w:hAnsi="Calibri" w:cs="Calibri"/>
          <w:b w:val="0"/>
          <w:bCs w:val="0"/>
          <w:color w:val="FF0000"/>
          <w:sz w:val="22"/>
          <w:szCs w:val="22"/>
          <w:lang w:val="el-GR"/>
        </w:rPr>
      </w:pPr>
    </w:p>
    <w:p w:rsidR="001C40C9" w:rsidRPr="00D60C9A" w:rsidRDefault="001C40C9" w:rsidP="00376052">
      <w:pPr>
        <w:pStyle w:val="ListParagraph"/>
        <w:spacing w:line="276" w:lineRule="auto"/>
        <w:ind w:left="0"/>
        <w:jc w:val="both"/>
        <w:rPr>
          <w:rFonts w:ascii="Calibri" w:hAnsi="Calibri" w:cs="Calibri"/>
          <w:b w:val="0"/>
          <w:bCs w:val="0"/>
          <w:color w:val="FF0000"/>
          <w:sz w:val="22"/>
          <w:szCs w:val="22"/>
          <w:lang w:val="el-GR"/>
        </w:rPr>
      </w:pPr>
      <w:r w:rsidRPr="00D60C9A">
        <w:rPr>
          <w:rFonts w:ascii="Calibri" w:hAnsi="Calibri" w:cs="Calibri"/>
          <w:b w:val="0"/>
          <w:bCs w:val="0"/>
          <w:color w:val="FF0000"/>
          <w:sz w:val="22"/>
          <w:szCs w:val="22"/>
          <w:lang w:val="el-GR"/>
        </w:rPr>
        <w:t xml:space="preserve">Με το ξέσπασμα της πανδημίας του </w:t>
      </w:r>
      <w:proofErr w:type="spellStart"/>
      <w:r w:rsidRPr="00D60C9A">
        <w:rPr>
          <w:rFonts w:ascii="Calibri" w:hAnsi="Calibri" w:cs="Calibri"/>
          <w:b w:val="0"/>
          <w:bCs w:val="0"/>
          <w:color w:val="FF0000"/>
          <w:sz w:val="22"/>
          <w:szCs w:val="22"/>
          <w:lang w:val="el-GR"/>
        </w:rPr>
        <w:t>κορονοιού</w:t>
      </w:r>
      <w:proofErr w:type="spellEnd"/>
      <w:r w:rsidRPr="00D60C9A">
        <w:rPr>
          <w:rFonts w:ascii="Calibri" w:hAnsi="Calibri" w:cs="Calibri"/>
          <w:b w:val="0"/>
          <w:bCs w:val="0"/>
          <w:color w:val="FF0000"/>
          <w:sz w:val="22"/>
          <w:szCs w:val="22"/>
          <w:lang w:val="el-GR"/>
        </w:rPr>
        <w:t xml:space="preserve"> τον Μάρτιο του 2020, η οικονομία της Κύπρου βρίσκεται για ακόμη μία φορά μετέωρη. Οι πρώτες εκτιμήσεις για το βάθος και τις επιπτώσεις της κρίσης είναι δυσοίωνες. </w:t>
      </w:r>
    </w:p>
    <w:p w:rsidR="001C40C9" w:rsidRPr="00D60C9A" w:rsidRDefault="001C40C9" w:rsidP="00376052">
      <w:pPr>
        <w:pStyle w:val="ListParagraph"/>
        <w:spacing w:line="276" w:lineRule="auto"/>
        <w:ind w:left="0"/>
        <w:jc w:val="both"/>
        <w:rPr>
          <w:rFonts w:ascii="Calibri" w:hAnsi="Calibri" w:cs="Calibri"/>
          <w:b w:val="0"/>
          <w:bCs w:val="0"/>
          <w:color w:val="FF0000"/>
          <w:sz w:val="22"/>
          <w:szCs w:val="22"/>
          <w:lang w:val="el-GR"/>
        </w:rPr>
      </w:pPr>
    </w:p>
    <w:p w:rsidR="001C40C9" w:rsidRPr="00D60C9A" w:rsidRDefault="001C40C9" w:rsidP="00376052">
      <w:pPr>
        <w:pStyle w:val="ListParagraph"/>
        <w:spacing w:line="276" w:lineRule="auto"/>
        <w:ind w:left="0"/>
        <w:jc w:val="both"/>
        <w:rPr>
          <w:rFonts w:ascii="Calibri" w:hAnsi="Calibri" w:cs="Calibri"/>
          <w:b w:val="0"/>
          <w:bCs w:val="0"/>
          <w:color w:val="FF0000"/>
          <w:sz w:val="22"/>
          <w:szCs w:val="22"/>
          <w:lang w:val="el-GR"/>
        </w:rPr>
      </w:pPr>
      <w:r w:rsidRPr="00D60C9A">
        <w:rPr>
          <w:rFonts w:ascii="Calibri" w:hAnsi="Calibri" w:cs="Calibri"/>
          <w:b w:val="0"/>
          <w:bCs w:val="0"/>
          <w:color w:val="FF0000"/>
          <w:sz w:val="22"/>
          <w:szCs w:val="22"/>
          <w:lang w:val="el-GR"/>
        </w:rPr>
        <w:t xml:space="preserve">Η </w:t>
      </w:r>
      <w:r w:rsidRPr="00D60C9A">
        <w:rPr>
          <w:rFonts w:asciiTheme="minorHAnsi" w:hAnsiTheme="minorHAnsi" w:cs="Arial"/>
          <w:b w:val="0"/>
          <w:iCs/>
          <w:color w:val="FF0000"/>
          <w:sz w:val="22"/>
          <w:szCs w:val="22"/>
          <w:shd w:val="clear" w:color="auto" w:fill="FFFFFF"/>
          <w:lang w:val="el-GR"/>
        </w:rPr>
        <w:t xml:space="preserve">Δημόσια Υπηρεσία Απασχόλησης </w:t>
      </w:r>
      <w:r w:rsidRPr="00D60C9A">
        <w:rPr>
          <w:rFonts w:asciiTheme="minorHAnsi" w:hAnsiTheme="minorHAnsi" w:cs="Arial"/>
          <w:b w:val="0"/>
          <w:iCs/>
          <w:color w:val="FF0000"/>
          <w:sz w:val="22"/>
          <w:szCs w:val="22"/>
          <w:shd w:val="clear" w:color="auto" w:fill="FFFFFF"/>
          <w:lang w:val="el-GR"/>
        </w:rPr>
        <w:t>κλήθηκε να εφαρμόσει από τις 12 Μαρτίου 2020</w:t>
      </w:r>
      <w:r w:rsidRPr="00D60C9A">
        <w:rPr>
          <w:rFonts w:asciiTheme="minorHAnsi" w:hAnsiTheme="minorHAnsi" w:cs="Arial"/>
          <w:b w:val="0"/>
          <w:iCs/>
          <w:color w:val="FF0000"/>
          <w:sz w:val="22"/>
          <w:szCs w:val="22"/>
          <w:shd w:val="clear" w:color="auto" w:fill="FFFFFF"/>
          <w:lang w:val="el-GR"/>
        </w:rPr>
        <w:t xml:space="preserve"> τα έκτακτα μέτρα που ανακοινώθηκαν από το ΥΕΠΚΑ με στόχο την αποφυγή της εξάπλωσης του </w:t>
      </w:r>
      <w:proofErr w:type="spellStart"/>
      <w:r w:rsidRPr="00D60C9A">
        <w:rPr>
          <w:rFonts w:asciiTheme="minorHAnsi" w:hAnsiTheme="minorHAnsi" w:cs="Arial"/>
          <w:b w:val="0"/>
          <w:iCs/>
          <w:color w:val="FF0000"/>
          <w:sz w:val="22"/>
          <w:szCs w:val="22"/>
          <w:shd w:val="clear" w:color="auto" w:fill="FFFFFF"/>
          <w:lang w:val="el-GR"/>
        </w:rPr>
        <w:t>κορονοιού</w:t>
      </w:r>
      <w:proofErr w:type="spellEnd"/>
      <w:r w:rsidRPr="00D60C9A">
        <w:rPr>
          <w:rFonts w:asciiTheme="minorHAnsi" w:hAnsiTheme="minorHAnsi" w:cs="Arial"/>
          <w:b w:val="0"/>
          <w:iCs/>
          <w:color w:val="FF0000"/>
          <w:sz w:val="22"/>
          <w:szCs w:val="22"/>
          <w:shd w:val="clear" w:color="auto" w:fill="FFFFFF"/>
          <w:lang w:val="el-GR"/>
        </w:rPr>
        <w:t xml:space="preserve">. Για τον λόγο αυτό οι ανανεώσεις </w:t>
      </w:r>
      <w:r w:rsidRPr="00D60C9A">
        <w:rPr>
          <w:rFonts w:asciiTheme="minorHAnsi" w:hAnsiTheme="minorHAnsi" w:cs="Arial"/>
          <w:b w:val="0"/>
          <w:iCs/>
          <w:color w:val="FF0000"/>
          <w:sz w:val="22"/>
          <w:szCs w:val="22"/>
          <w:shd w:val="clear" w:color="auto" w:fill="FFFFFF"/>
          <w:lang w:val="el-GR"/>
        </w:rPr>
        <w:t xml:space="preserve">των εγγεγραμμένων ανέργων </w:t>
      </w:r>
      <w:r w:rsidRPr="00D60C9A">
        <w:rPr>
          <w:rFonts w:asciiTheme="minorHAnsi" w:hAnsiTheme="minorHAnsi" w:cs="Arial"/>
          <w:b w:val="0"/>
          <w:iCs/>
          <w:color w:val="FF0000"/>
          <w:sz w:val="22"/>
          <w:szCs w:val="22"/>
          <w:shd w:val="clear" w:color="auto" w:fill="FFFFFF"/>
          <w:lang w:val="el-GR"/>
        </w:rPr>
        <w:t xml:space="preserve">γίνονται αυτόματα και οι νέες εγγραφές ανέργων </w:t>
      </w:r>
      <w:r w:rsidRPr="00D60C9A">
        <w:rPr>
          <w:rFonts w:asciiTheme="minorHAnsi" w:hAnsiTheme="minorHAnsi" w:cs="Arial"/>
          <w:b w:val="0"/>
          <w:iCs/>
          <w:color w:val="FF0000"/>
          <w:sz w:val="22"/>
          <w:szCs w:val="22"/>
          <w:shd w:val="clear" w:color="auto" w:fill="FFFFFF"/>
          <w:lang w:val="el-GR"/>
        </w:rPr>
        <w:t>χωρίς φυσική παρουσία</w:t>
      </w:r>
      <w:r w:rsidRPr="00D60C9A">
        <w:rPr>
          <w:rFonts w:asciiTheme="minorHAnsi" w:hAnsiTheme="minorHAnsi" w:cs="Arial"/>
          <w:b w:val="0"/>
          <w:iCs/>
          <w:color w:val="FF0000"/>
          <w:sz w:val="22"/>
          <w:szCs w:val="22"/>
          <w:shd w:val="clear" w:color="auto" w:fill="FFFFFF"/>
          <w:lang w:val="el-GR"/>
        </w:rPr>
        <w:t xml:space="preserve">. </w:t>
      </w:r>
      <w:r w:rsidR="00DE09F6" w:rsidRPr="00D60C9A">
        <w:rPr>
          <w:rFonts w:asciiTheme="minorHAnsi" w:hAnsiTheme="minorHAnsi" w:cs="Arial"/>
          <w:b w:val="0"/>
          <w:iCs/>
          <w:color w:val="FF0000"/>
          <w:sz w:val="22"/>
          <w:szCs w:val="22"/>
          <w:shd w:val="clear" w:color="auto" w:fill="FFFFFF"/>
          <w:lang w:val="el-GR"/>
        </w:rPr>
        <w:t>Επιπλέον, ο</w:t>
      </w:r>
      <w:r w:rsidRPr="00D60C9A">
        <w:rPr>
          <w:rFonts w:asciiTheme="minorHAnsi" w:hAnsiTheme="minorHAnsi" w:cs="Arial"/>
          <w:b w:val="0"/>
          <w:iCs/>
          <w:color w:val="FF0000"/>
          <w:sz w:val="22"/>
          <w:szCs w:val="22"/>
          <w:shd w:val="clear" w:color="auto" w:fill="FFFFFF"/>
          <w:lang w:val="el-GR"/>
        </w:rPr>
        <w:t xml:space="preserve">ι εργοδότες και οι </w:t>
      </w:r>
      <w:r w:rsidR="00DE09F6" w:rsidRPr="00D60C9A">
        <w:rPr>
          <w:rFonts w:asciiTheme="minorHAnsi" w:hAnsiTheme="minorHAnsi" w:cs="Arial"/>
          <w:b w:val="0"/>
          <w:iCs/>
          <w:color w:val="FF0000"/>
          <w:sz w:val="22"/>
          <w:szCs w:val="22"/>
          <w:shd w:val="clear" w:color="auto" w:fill="FFFFFF"/>
          <w:lang w:val="el-GR"/>
        </w:rPr>
        <w:t>εταιρείες</w:t>
      </w:r>
      <w:r w:rsidRPr="00D60C9A">
        <w:rPr>
          <w:rFonts w:asciiTheme="minorHAnsi" w:hAnsiTheme="minorHAnsi" w:cs="Arial"/>
          <w:b w:val="0"/>
          <w:iCs/>
          <w:color w:val="FF0000"/>
          <w:sz w:val="22"/>
          <w:szCs w:val="22"/>
          <w:shd w:val="clear" w:color="auto" w:fill="FFFFFF"/>
          <w:lang w:val="el-GR"/>
        </w:rPr>
        <w:t xml:space="preserve"> </w:t>
      </w:r>
      <w:r w:rsidR="00DE09F6" w:rsidRPr="00D60C9A">
        <w:rPr>
          <w:rFonts w:asciiTheme="minorHAnsi" w:hAnsiTheme="minorHAnsi" w:cs="Arial"/>
          <w:b w:val="0"/>
          <w:iCs/>
          <w:color w:val="FF0000"/>
          <w:sz w:val="22"/>
          <w:szCs w:val="22"/>
          <w:shd w:val="clear" w:color="auto" w:fill="FFFFFF"/>
          <w:lang w:val="el-GR"/>
        </w:rPr>
        <w:t>εξυπηρετούνται</w:t>
      </w:r>
      <w:r w:rsidR="00DE09F6" w:rsidRPr="00D60C9A">
        <w:rPr>
          <w:rFonts w:asciiTheme="minorHAnsi" w:hAnsiTheme="minorHAnsi" w:cs="Arial"/>
          <w:b w:val="0"/>
          <w:iCs/>
          <w:color w:val="FF0000"/>
          <w:sz w:val="22"/>
          <w:szCs w:val="22"/>
          <w:shd w:val="clear" w:color="auto" w:fill="FFFFFF"/>
          <w:lang w:val="el-GR"/>
        </w:rPr>
        <w:t xml:space="preserve"> εξ αποστάσεως.</w:t>
      </w:r>
      <w:r w:rsidRPr="00D60C9A">
        <w:rPr>
          <w:rFonts w:asciiTheme="minorHAnsi" w:hAnsiTheme="minorHAnsi" w:cs="Arial"/>
          <w:b w:val="0"/>
          <w:iCs/>
          <w:color w:val="FF0000"/>
          <w:sz w:val="22"/>
          <w:szCs w:val="22"/>
          <w:shd w:val="clear" w:color="auto" w:fill="FFFFFF"/>
          <w:lang w:val="el-GR"/>
        </w:rPr>
        <w:t xml:space="preserve"> Λόγω αυτών των μέτρων, η σύγκριση των στοιχείων εγγεγραμμένης ανεργίας </w:t>
      </w:r>
      <w:r w:rsidR="00DE09F6" w:rsidRPr="00D60C9A">
        <w:rPr>
          <w:rFonts w:asciiTheme="minorHAnsi" w:hAnsiTheme="minorHAnsi" w:cs="Arial"/>
          <w:b w:val="0"/>
          <w:iCs/>
          <w:color w:val="FF0000"/>
          <w:sz w:val="22"/>
          <w:szCs w:val="22"/>
          <w:shd w:val="clear" w:color="auto" w:fill="FFFFFF"/>
          <w:lang w:val="el-GR"/>
        </w:rPr>
        <w:t>Απριλίου</w:t>
      </w:r>
      <w:r w:rsidRPr="00D60C9A">
        <w:rPr>
          <w:rFonts w:asciiTheme="minorHAnsi" w:hAnsiTheme="minorHAnsi" w:cs="Arial"/>
          <w:b w:val="0"/>
          <w:iCs/>
          <w:color w:val="FF0000"/>
          <w:sz w:val="22"/>
          <w:szCs w:val="22"/>
          <w:shd w:val="clear" w:color="auto" w:fill="FFFFFF"/>
          <w:lang w:val="el-GR"/>
        </w:rPr>
        <w:t xml:space="preserve"> 2020, με τα στοιχεία προηγούμενων μηνών δεν θεωρείται ασφαλής.</w:t>
      </w:r>
    </w:p>
    <w:p w:rsidR="00195770" w:rsidRPr="00D60C9A" w:rsidRDefault="00195770" w:rsidP="00376052">
      <w:pPr>
        <w:pStyle w:val="ListParagraph"/>
        <w:spacing w:line="276" w:lineRule="auto"/>
        <w:ind w:left="0"/>
        <w:jc w:val="both"/>
        <w:rPr>
          <w:rFonts w:ascii="Calibri" w:hAnsi="Calibri" w:cs="Calibri"/>
          <w:b w:val="0"/>
          <w:bCs w:val="0"/>
          <w:color w:val="FF0000"/>
          <w:sz w:val="22"/>
          <w:szCs w:val="22"/>
          <w:lang w:val="el-GR"/>
        </w:rPr>
      </w:pPr>
    </w:p>
    <w:p w:rsidR="007E74B3" w:rsidRPr="00D60C9A" w:rsidRDefault="007E74B3" w:rsidP="007B31A3">
      <w:pPr>
        <w:spacing w:after="240" w:line="276" w:lineRule="auto"/>
        <w:jc w:val="both"/>
        <w:rPr>
          <w:rFonts w:asciiTheme="minorHAnsi" w:hAnsiTheme="minorHAnsi"/>
          <w:b w:val="0"/>
          <w:color w:val="FF0000"/>
          <w:sz w:val="22"/>
          <w:szCs w:val="22"/>
          <w:lang w:val="el-GR"/>
        </w:rPr>
      </w:pPr>
      <w:r w:rsidRPr="00D60C9A">
        <w:rPr>
          <w:rFonts w:asciiTheme="minorHAnsi" w:hAnsiTheme="minorHAnsi"/>
          <w:b w:val="0"/>
          <w:color w:val="FF0000"/>
          <w:sz w:val="22"/>
          <w:szCs w:val="22"/>
          <w:lang w:val="el-GR"/>
        </w:rPr>
        <w:t>Σύμφωνα με τα τελευταία στοιχεία της Έρευνας Εργατικού Δυναμικού, κατά το</w:t>
      </w:r>
      <w:r w:rsidR="00B502E2" w:rsidRPr="00D60C9A">
        <w:rPr>
          <w:rFonts w:asciiTheme="minorHAnsi" w:hAnsiTheme="minorHAnsi"/>
          <w:b w:val="0"/>
          <w:color w:val="FF0000"/>
          <w:sz w:val="22"/>
          <w:szCs w:val="22"/>
          <w:lang w:val="el-GR"/>
        </w:rPr>
        <w:t xml:space="preserve"> πρώτο τρίμηνο του </w:t>
      </w:r>
      <w:r w:rsidRPr="00D60C9A">
        <w:rPr>
          <w:rFonts w:asciiTheme="minorHAnsi" w:hAnsiTheme="minorHAnsi"/>
          <w:b w:val="0"/>
          <w:color w:val="FF0000"/>
          <w:sz w:val="22"/>
          <w:szCs w:val="22"/>
          <w:lang w:val="el-GR"/>
        </w:rPr>
        <w:t>20</w:t>
      </w:r>
      <w:r w:rsidR="00B502E2" w:rsidRPr="00D60C9A">
        <w:rPr>
          <w:rFonts w:asciiTheme="minorHAnsi" w:hAnsiTheme="minorHAnsi"/>
          <w:b w:val="0"/>
          <w:color w:val="FF0000"/>
          <w:sz w:val="22"/>
          <w:szCs w:val="22"/>
          <w:lang w:val="el-GR"/>
        </w:rPr>
        <w:t>20</w:t>
      </w:r>
      <w:r w:rsidRPr="00D60C9A">
        <w:rPr>
          <w:rFonts w:asciiTheme="minorHAnsi" w:hAnsiTheme="minorHAnsi"/>
          <w:b w:val="0"/>
          <w:color w:val="FF0000"/>
          <w:sz w:val="22"/>
          <w:szCs w:val="22"/>
          <w:lang w:val="el-GR"/>
        </w:rPr>
        <w:t xml:space="preserve"> το ποσοστό ανεργίας διαμορφώθηκε στο </w:t>
      </w:r>
      <w:r w:rsidR="00B502E2" w:rsidRPr="00D60C9A">
        <w:rPr>
          <w:rFonts w:asciiTheme="minorHAnsi" w:hAnsiTheme="minorHAnsi"/>
          <w:b w:val="0"/>
          <w:color w:val="FF0000"/>
          <w:sz w:val="22"/>
          <w:szCs w:val="22"/>
          <w:lang w:val="el-GR"/>
        </w:rPr>
        <w:t>7,3</w:t>
      </w:r>
      <w:r w:rsidRPr="00D60C9A">
        <w:rPr>
          <w:rFonts w:asciiTheme="minorHAnsi" w:hAnsiTheme="minorHAnsi"/>
          <w:b w:val="0"/>
          <w:color w:val="FF0000"/>
          <w:sz w:val="22"/>
          <w:szCs w:val="22"/>
          <w:lang w:val="el-GR"/>
        </w:rPr>
        <w:t>% του εργατικού δυναμικού (</w:t>
      </w:r>
      <w:r w:rsidR="00B502E2" w:rsidRPr="00D60C9A">
        <w:rPr>
          <w:rFonts w:asciiTheme="minorHAnsi" w:hAnsiTheme="minorHAnsi"/>
          <w:b w:val="0"/>
          <w:color w:val="FF0000"/>
          <w:sz w:val="22"/>
          <w:szCs w:val="22"/>
          <w:lang w:val="el-GR"/>
        </w:rPr>
        <w:t>32.803</w:t>
      </w:r>
      <w:r w:rsidRPr="00D60C9A">
        <w:rPr>
          <w:rFonts w:asciiTheme="minorHAnsi" w:hAnsiTheme="minorHAnsi"/>
          <w:b w:val="0"/>
          <w:color w:val="FF0000"/>
          <w:sz w:val="22"/>
          <w:szCs w:val="22"/>
          <w:lang w:val="el-GR"/>
        </w:rPr>
        <w:t xml:space="preserve"> άτομα) παρουσιάζοντας μείωση κατά 1,</w:t>
      </w:r>
      <w:r w:rsidR="00B502E2" w:rsidRPr="00D60C9A">
        <w:rPr>
          <w:rFonts w:asciiTheme="minorHAnsi" w:hAnsiTheme="minorHAnsi"/>
          <w:b w:val="0"/>
          <w:color w:val="FF0000"/>
          <w:sz w:val="22"/>
          <w:szCs w:val="22"/>
          <w:lang w:val="el-GR"/>
        </w:rPr>
        <w:t>5</w:t>
      </w:r>
      <w:r w:rsidRPr="00D60C9A">
        <w:rPr>
          <w:rFonts w:asciiTheme="minorHAnsi" w:hAnsiTheme="minorHAnsi"/>
          <w:b w:val="0"/>
          <w:color w:val="FF0000"/>
          <w:sz w:val="22"/>
          <w:szCs w:val="22"/>
          <w:lang w:val="el-GR"/>
        </w:rPr>
        <w:t xml:space="preserve"> ποσοστιαίες μονάδες (</w:t>
      </w:r>
      <w:r w:rsidR="00B502E2" w:rsidRPr="00D60C9A">
        <w:rPr>
          <w:rFonts w:asciiTheme="minorHAnsi" w:hAnsiTheme="minorHAnsi"/>
          <w:b w:val="0"/>
          <w:color w:val="FF0000"/>
          <w:sz w:val="22"/>
          <w:szCs w:val="22"/>
          <w:lang w:val="el-GR"/>
        </w:rPr>
        <w:t>6.449</w:t>
      </w:r>
      <w:r w:rsidRPr="00D60C9A">
        <w:rPr>
          <w:rFonts w:asciiTheme="minorHAnsi" w:hAnsiTheme="minorHAnsi"/>
          <w:b w:val="0"/>
          <w:color w:val="FF0000"/>
          <w:sz w:val="22"/>
          <w:szCs w:val="22"/>
          <w:lang w:val="el-GR"/>
        </w:rPr>
        <w:t xml:space="preserve"> άτομα) σε σχέση με το </w:t>
      </w:r>
      <w:r w:rsidR="00B502E2" w:rsidRPr="00D60C9A">
        <w:rPr>
          <w:rFonts w:asciiTheme="minorHAnsi" w:hAnsiTheme="minorHAnsi"/>
          <w:b w:val="0"/>
          <w:color w:val="FF0000"/>
          <w:sz w:val="22"/>
          <w:szCs w:val="22"/>
          <w:lang w:val="el-GR"/>
        </w:rPr>
        <w:t xml:space="preserve"> 2019</w:t>
      </w:r>
      <w:r w:rsidRPr="00D60C9A">
        <w:rPr>
          <w:rFonts w:asciiTheme="minorHAnsi" w:hAnsiTheme="minorHAnsi"/>
          <w:b w:val="0"/>
          <w:color w:val="FF0000"/>
          <w:sz w:val="22"/>
          <w:szCs w:val="22"/>
          <w:lang w:val="el-GR"/>
        </w:rPr>
        <w:t xml:space="preserve"> που ήταν </w:t>
      </w:r>
      <w:r w:rsidR="00B502E2" w:rsidRPr="00D60C9A">
        <w:rPr>
          <w:rFonts w:asciiTheme="minorHAnsi" w:hAnsiTheme="minorHAnsi"/>
          <w:b w:val="0"/>
          <w:color w:val="FF0000"/>
          <w:sz w:val="22"/>
          <w:szCs w:val="22"/>
          <w:lang w:val="el-GR"/>
        </w:rPr>
        <w:t>8,8</w:t>
      </w:r>
      <w:r w:rsidRPr="00D60C9A">
        <w:rPr>
          <w:rFonts w:asciiTheme="minorHAnsi" w:hAnsiTheme="minorHAnsi"/>
          <w:b w:val="0"/>
          <w:color w:val="FF0000"/>
          <w:sz w:val="22"/>
          <w:szCs w:val="22"/>
          <w:lang w:val="el-GR"/>
        </w:rPr>
        <w:t>% (</w:t>
      </w:r>
      <w:r w:rsidR="00B502E2" w:rsidRPr="00D60C9A">
        <w:rPr>
          <w:rFonts w:asciiTheme="minorHAnsi" w:hAnsiTheme="minorHAnsi"/>
          <w:b w:val="0"/>
          <w:color w:val="FF0000"/>
          <w:sz w:val="22"/>
          <w:szCs w:val="22"/>
          <w:lang w:val="el-GR"/>
        </w:rPr>
        <w:t>39.252</w:t>
      </w:r>
      <w:r w:rsidRPr="00D60C9A">
        <w:rPr>
          <w:rFonts w:asciiTheme="minorHAnsi" w:hAnsiTheme="minorHAnsi"/>
          <w:b w:val="0"/>
          <w:color w:val="FF0000"/>
          <w:sz w:val="22"/>
          <w:szCs w:val="22"/>
          <w:lang w:val="el-GR"/>
        </w:rPr>
        <w:t xml:space="preserve"> άτομα). Το ποσοστό ανεργίας το 2019 (μέσος όρος) διαμορφώθηκε στο 7,1% του εργατικού δυναμικού (31.703 άτομα) παρουσιάζοντας μείωση κατά 1,3 ποσοστιαίες μονάδες (4.914 άτομα) σε σχέση με το μέσο όρο του 2018 που ήταν 8.4% (36.617 άτομα).</w:t>
      </w:r>
    </w:p>
    <w:p w:rsidR="007E74B3" w:rsidRPr="00D60C9A" w:rsidRDefault="007E74B3" w:rsidP="007B31A3">
      <w:pPr>
        <w:spacing w:after="240" w:line="276" w:lineRule="auto"/>
        <w:jc w:val="both"/>
        <w:rPr>
          <w:rFonts w:asciiTheme="minorHAnsi" w:hAnsiTheme="minorHAnsi"/>
          <w:color w:val="FF0000"/>
          <w:sz w:val="22"/>
          <w:szCs w:val="22"/>
          <w:lang w:val="el-GR"/>
        </w:rPr>
      </w:pPr>
      <w:r w:rsidRPr="00D60C9A">
        <w:rPr>
          <w:rFonts w:asciiTheme="minorHAnsi" w:hAnsiTheme="minorHAnsi"/>
          <w:b w:val="0"/>
          <w:color w:val="FF0000"/>
          <w:sz w:val="22"/>
          <w:szCs w:val="22"/>
          <w:lang w:val="el-GR"/>
        </w:rPr>
        <w:t>Σε σχέση με τα προηγούμενα χρόνια ο μέσος όρος ανεργίας κατά το 2018 ήταν 8,4%, το 2017 ήταν 11,1%, το 2016 ήταν 12,9%, το 2015 ήταν 14,9%, το 2014 ήταν 16,1%, και το 2013 ήταν 15,9%.</w:t>
      </w:r>
    </w:p>
    <w:p w:rsidR="007E74B3" w:rsidRPr="00D60C9A" w:rsidRDefault="007E74B3" w:rsidP="007B31A3">
      <w:pPr>
        <w:spacing w:after="240" w:line="276" w:lineRule="auto"/>
        <w:jc w:val="both"/>
        <w:rPr>
          <w:rFonts w:asciiTheme="minorHAnsi" w:hAnsiTheme="minorHAnsi"/>
          <w:b w:val="0"/>
          <w:color w:val="FF0000"/>
          <w:sz w:val="22"/>
          <w:szCs w:val="22"/>
          <w:lang w:val="el-GR"/>
        </w:rPr>
      </w:pPr>
      <w:r w:rsidRPr="00D60C9A">
        <w:rPr>
          <w:rFonts w:asciiTheme="minorHAnsi" w:hAnsiTheme="minorHAnsi"/>
          <w:b w:val="0"/>
          <w:color w:val="FF0000"/>
          <w:sz w:val="22"/>
          <w:szCs w:val="22"/>
          <w:lang w:val="el-GR"/>
        </w:rPr>
        <w:lastRenderedPageBreak/>
        <w:t>Το ποσοστό ανεργίας στους νέους 15-24 ετών διαμορφώθηκε στο 1</w:t>
      </w:r>
      <w:r w:rsidR="00F6780D" w:rsidRPr="00D60C9A">
        <w:rPr>
          <w:rFonts w:asciiTheme="minorHAnsi" w:hAnsiTheme="minorHAnsi"/>
          <w:b w:val="0"/>
          <w:color w:val="FF0000"/>
          <w:sz w:val="22"/>
          <w:szCs w:val="22"/>
          <w:lang w:val="el-GR"/>
        </w:rPr>
        <w:t>4,5</w:t>
      </w:r>
      <w:r w:rsidRPr="00D60C9A">
        <w:rPr>
          <w:rFonts w:asciiTheme="minorHAnsi" w:hAnsiTheme="minorHAnsi"/>
          <w:b w:val="0"/>
          <w:color w:val="FF0000"/>
          <w:sz w:val="22"/>
          <w:szCs w:val="22"/>
          <w:lang w:val="el-GR"/>
        </w:rPr>
        <w:t xml:space="preserve">% το </w:t>
      </w:r>
      <w:r w:rsidR="00F6780D" w:rsidRPr="00D60C9A">
        <w:rPr>
          <w:rFonts w:asciiTheme="minorHAnsi" w:hAnsiTheme="minorHAnsi"/>
          <w:b w:val="0"/>
          <w:color w:val="FF0000"/>
          <w:sz w:val="22"/>
          <w:szCs w:val="22"/>
          <w:lang w:val="el-GR"/>
        </w:rPr>
        <w:t>πρώτο</w:t>
      </w:r>
      <w:r w:rsidRPr="00D60C9A">
        <w:rPr>
          <w:rFonts w:asciiTheme="minorHAnsi" w:hAnsiTheme="minorHAnsi"/>
          <w:b w:val="0"/>
          <w:color w:val="FF0000"/>
          <w:sz w:val="22"/>
          <w:szCs w:val="22"/>
          <w:lang w:val="el-GR"/>
        </w:rPr>
        <w:t xml:space="preserve"> τρίμηνο του 20</w:t>
      </w:r>
      <w:r w:rsidR="00F6780D" w:rsidRPr="00D60C9A">
        <w:rPr>
          <w:rFonts w:asciiTheme="minorHAnsi" w:hAnsiTheme="minorHAnsi"/>
          <w:b w:val="0"/>
          <w:color w:val="FF0000"/>
          <w:sz w:val="22"/>
          <w:szCs w:val="22"/>
          <w:lang w:val="el-GR"/>
        </w:rPr>
        <w:t>20</w:t>
      </w:r>
      <w:r w:rsidRPr="00D60C9A">
        <w:rPr>
          <w:rFonts w:asciiTheme="minorHAnsi" w:hAnsiTheme="minorHAnsi"/>
          <w:b w:val="0"/>
          <w:color w:val="FF0000"/>
          <w:sz w:val="22"/>
          <w:szCs w:val="22"/>
          <w:lang w:val="el-GR"/>
        </w:rPr>
        <w:t xml:space="preserve">, παρουσιάζοντας μείωση κατά </w:t>
      </w:r>
      <w:r w:rsidR="00F6780D" w:rsidRPr="00D60C9A">
        <w:rPr>
          <w:rFonts w:asciiTheme="minorHAnsi" w:hAnsiTheme="minorHAnsi"/>
          <w:b w:val="0"/>
          <w:color w:val="FF0000"/>
          <w:sz w:val="22"/>
          <w:szCs w:val="22"/>
          <w:lang w:val="el-GR"/>
        </w:rPr>
        <w:t>5,3</w:t>
      </w:r>
      <w:r w:rsidRPr="00D60C9A">
        <w:rPr>
          <w:rFonts w:asciiTheme="minorHAnsi" w:hAnsiTheme="minorHAnsi"/>
          <w:b w:val="0"/>
          <w:color w:val="FF0000"/>
          <w:sz w:val="22"/>
          <w:szCs w:val="22"/>
          <w:lang w:val="el-GR"/>
        </w:rPr>
        <w:t xml:space="preserve"> ποσοστιαίες μονάδες (2.</w:t>
      </w:r>
      <w:r w:rsidR="00F6780D" w:rsidRPr="00D60C9A">
        <w:rPr>
          <w:rFonts w:asciiTheme="minorHAnsi" w:hAnsiTheme="minorHAnsi"/>
          <w:b w:val="0"/>
          <w:color w:val="FF0000"/>
          <w:sz w:val="22"/>
          <w:szCs w:val="22"/>
          <w:lang w:val="el-GR"/>
        </w:rPr>
        <w:t>331</w:t>
      </w:r>
      <w:r w:rsidRPr="00D60C9A">
        <w:rPr>
          <w:rFonts w:asciiTheme="minorHAnsi" w:hAnsiTheme="minorHAnsi"/>
          <w:b w:val="0"/>
          <w:color w:val="FF0000"/>
          <w:sz w:val="22"/>
          <w:szCs w:val="22"/>
          <w:lang w:val="el-GR"/>
        </w:rPr>
        <w:t xml:space="preserve"> άτομα) σε σχέση με το </w:t>
      </w:r>
      <w:r w:rsidR="00F6780D" w:rsidRPr="00D60C9A">
        <w:rPr>
          <w:rFonts w:asciiTheme="minorHAnsi" w:hAnsiTheme="minorHAnsi"/>
          <w:b w:val="0"/>
          <w:color w:val="FF0000"/>
          <w:sz w:val="22"/>
          <w:szCs w:val="22"/>
          <w:lang w:val="el-GR"/>
        </w:rPr>
        <w:t>πρώτο</w:t>
      </w:r>
      <w:r w:rsidRPr="00D60C9A">
        <w:rPr>
          <w:rFonts w:asciiTheme="minorHAnsi" w:hAnsiTheme="minorHAnsi"/>
          <w:b w:val="0"/>
          <w:color w:val="FF0000"/>
          <w:sz w:val="22"/>
          <w:szCs w:val="22"/>
          <w:lang w:val="el-GR"/>
        </w:rPr>
        <w:t xml:space="preserve"> τρίμηνο του 201</w:t>
      </w:r>
      <w:r w:rsidR="00F6780D" w:rsidRPr="00D60C9A">
        <w:rPr>
          <w:rFonts w:asciiTheme="minorHAnsi" w:hAnsiTheme="minorHAnsi"/>
          <w:b w:val="0"/>
          <w:color w:val="FF0000"/>
          <w:sz w:val="22"/>
          <w:szCs w:val="22"/>
          <w:lang w:val="el-GR"/>
        </w:rPr>
        <w:t>9</w:t>
      </w:r>
      <w:r w:rsidRPr="00D60C9A">
        <w:rPr>
          <w:rFonts w:asciiTheme="minorHAnsi" w:hAnsiTheme="minorHAnsi"/>
          <w:b w:val="0"/>
          <w:color w:val="FF0000"/>
          <w:sz w:val="22"/>
          <w:szCs w:val="22"/>
          <w:lang w:val="el-GR"/>
        </w:rPr>
        <w:t xml:space="preserve"> που ήταν </w:t>
      </w:r>
      <w:r w:rsidR="00F6780D" w:rsidRPr="00D60C9A">
        <w:rPr>
          <w:rFonts w:asciiTheme="minorHAnsi" w:hAnsiTheme="minorHAnsi"/>
          <w:b w:val="0"/>
          <w:color w:val="FF0000"/>
          <w:sz w:val="22"/>
          <w:szCs w:val="22"/>
          <w:lang w:val="el-GR"/>
        </w:rPr>
        <w:t>19,8</w:t>
      </w:r>
      <w:r w:rsidRPr="00D60C9A">
        <w:rPr>
          <w:rFonts w:asciiTheme="minorHAnsi" w:hAnsiTheme="minorHAnsi"/>
          <w:b w:val="0"/>
          <w:color w:val="FF0000"/>
          <w:sz w:val="22"/>
          <w:szCs w:val="22"/>
          <w:lang w:val="el-GR"/>
        </w:rPr>
        <w:t>%. Το ποσοστό ανεργίας των νέων το 2019 (μέσος όρος) διαμορφώθηκε στο 16,6% του εργατικού δυναμικού (6.012 άτομα) παρουσιάζοντας μείωση κατά 3,6 ποσοστιαίες μονάδες (1.619 άτομα) σε σχέση με το μέσο όρο του 2018 που ήταν 20.2% (7.631 άτομα).</w:t>
      </w:r>
    </w:p>
    <w:p w:rsidR="007E74B3" w:rsidRPr="00D60C9A" w:rsidRDefault="007E74B3" w:rsidP="004C1561">
      <w:pPr>
        <w:jc w:val="both"/>
        <w:rPr>
          <w:rFonts w:ascii="Calibri" w:hAnsi="Calibri" w:cs="Calibri"/>
          <w:color w:val="FF0000"/>
          <w:sz w:val="22"/>
          <w:szCs w:val="22"/>
          <w:lang w:val="el-GR"/>
        </w:rPr>
      </w:pPr>
      <w:r w:rsidRPr="00D60C9A">
        <w:rPr>
          <w:rFonts w:ascii="Calibri" w:hAnsi="Calibri" w:cs="Calibri"/>
          <w:b w:val="0"/>
          <w:bCs w:val="0"/>
          <w:color w:val="FF0000"/>
          <w:sz w:val="22"/>
          <w:szCs w:val="22"/>
          <w:lang w:val="el-GR"/>
        </w:rPr>
        <w:t>Κατά μέσο όρο το ποσοστό ανεργίας στους νέους 15-24 ετών το 2018 ήταν 20,2%, το 2017 διαμορφώθηκε στο 24,7%, το 2016 στο 29,1%, το 2015 στο 32,8%, το 2014 στο 36,0%  και το 2013 στο 38,9%.</w:t>
      </w:r>
    </w:p>
    <w:p w:rsidR="00376052" w:rsidRPr="00D60C9A" w:rsidRDefault="00376052" w:rsidP="00E95971">
      <w:pPr>
        <w:pStyle w:val="ListParagraph"/>
        <w:spacing w:line="276" w:lineRule="auto"/>
        <w:ind w:left="0"/>
        <w:jc w:val="both"/>
        <w:rPr>
          <w:rFonts w:ascii="Calibri" w:hAnsi="Calibri" w:cs="Calibri"/>
          <w:b w:val="0"/>
          <w:bCs w:val="0"/>
          <w:color w:val="FF0000"/>
          <w:sz w:val="22"/>
          <w:szCs w:val="22"/>
          <w:lang w:val="el-GR"/>
        </w:rPr>
      </w:pPr>
    </w:p>
    <w:p w:rsidR="00C1124B" w:rsidRPr="00D60C9A" w:rsidRDefault="00C1124B" w:rsidP="00C1124B">
      <w:pPr>
        <w:spacing w:after="200" w:line="276" w:lineRule="auto"/>
        <w:jc w:val="both"/>
        <w:rPr>
          <w:rFonts w:ascii="Calibri" w:eastAsia="Calibri" w:hAnsi="Calibri" w:cs="Arial"/>
          <w:b w:val="0"/>
          <w:color w:val="FF0000"/>
          <w:sz w:val="22"/>
          <w:szCs w:val="22"/>
          <w:lang w:val="el-GR"/>
        </w:rPr>
      </w:pPr>
      <w:r w:rsidRPr="00D60C9A">
        <w:rPr>
          <w:rFonts w:ascii="Calibri" w:eastAsia="Calibri" w:hAnsi="Calibri" w:cs="Arial"/>
          <w:b w:val="0"/>
          <w:color w:val="FF0000"/>
          <w:sz w:val="22"/>
          <w:szCs w:val="22"/>
          <w:lang w:val="el-GR"/>
        </w:rPr>
        <w:t xml:space="preserve">Με βάση τα τελευταία διαθέσιμα στοιχεία της Ευρωπαϊκής Στατιστικής Υπηρεσίας, </w:t>
      </w:r>
      <w:r w:rsidRPr="00D60C9A">
        <w:rPr>
          <w:rFonts w:ascii="Calibri" w:eastAsia="Calibri" w:hAnsi="Calibri" w:cs="Arial"/>
          <w:b w:val="0"/>
          <w:color w:val="FF0000"/>
          <w:sz w:val="22"/>
          <w:szCs w:val="22"/>
        </w:rPr>
        <w:t>Eurostat</w:t>
      </w:r>
      <w:r w:rsidRPr="00D60C9A">
        <w:rPr>
          <w:rFonts w:ascii="Calibri" w:eastAsia="Calibri" w:hAnsi="Calibri" w:cs="Arial"/>
          <w:b w:val="0"/>
          <w:color w:val="FF0000"/>
          <w:sz w:val="22"/>
          <w:szCs w:val="22"/>
          <w:lang w:val="el-GR"/>
        </w:rPr>
        <w:t xml:space="preserve">, τα οποία είναι προκαταρκτικά και αποτελούν εκτίμηση, κατά το μήνα Μάρτιο </w:t>
      </w:r>
      <w:r w:rsidRPr="00D60C9A">
        <w:rPr>
          <w:rFonts w:ascii="Calibri" w:eastAsia="Calibri" w:hAnsi="Calibri" w:cs="Arial"/>
          <w:b w:val="0"/>
          <w:i/>
          <w:color w:val="FF0000"/>
          <w:sz w:val="22"/>
          <w:szCs w:val="22"/>
          <w:lang w:val="el-GR"/>
        </w:rPr>
        <w:t xml:space="preserve">του 2020 </w:t>
      </w:r>
      <w:r w:rsidRPr="00D60C9A">
        <w:rPr>
          <w:rFonts w:ascii="Calibri" w:eastAsia="Calibri" w:hAnsi="Calibri" w:cs="Arial"/>
          <w:b w:val="0"/>
          <w:color w:val="FF0000"/>
          <w:sz w:val="22"/>
          <w:szCs w:val="22"/>
          <w:lang w:val="el-GR"/>
        </w:rPr>
        <w:t>η ανεργία στην Κύπρο ανήλθε στο 6,7</w:t>
      </w:r>
      <w:r w:rsidRPr="00D60C9A">
        <w:rPr>
          <w:rFonts w:ascii="Calibri" w:eastAsia="Calibri" w:hAnsi="Calibri" w:cs="Arial"/>
          <w:color w:val="FF0000"/>
          <w:sz w:val="22"/>
          <w:szCs w:val="22"/>
          <w:lang w:val="el-GR"/>
        </w:rPr>
        <w:t>%</w:t>
      </w:r>
      <w:r w:rsidRPr="00D60C9A">
        <w:rPr>
          <w:rFonts w:ascii="Calibri" w:eastAsia="Calibri" w:hAnsi="Calibri" w:cs="Arial"/>
          <w:b w:val="0"/>
          <w:color w:val="FF0000"/>
          <w:sz w:val="22"/>
          <w:szCs w:val="22"/>
          <w:lang w:val="el-GR"/>
        </w:rPr>
        <w:t xml:space="preserve"> παρουσιάζοντας μείωση κατά 0,9 ποσοστιαίες μονάδες σε σχέση με τον ίδιο μήνα πέρσι (7,6%). Σε σύγκριση με τον προηγούμενο μήνα, Φεβρουάριο 2020, το ποσοστό ανεργίας αυξήθηκε κατά 0,9 ποσοστιαίες μονάδες. Η ανεργία των νέων 15-24 ετών έφτασε στο 15,2% τον Δεκέμβριο του 2019. </w:t>
      </w:r>
    </w:p>
    <w:p w:rsidR="00C1124B" w:rsidRPr="00D60C9A" w:rsidRDefault="00C1124B" w:rsidP="00C1124B">
      <w:pPr>
        <w:spacing w:after="200" w:line="276" w:lineRule="auto"/>
        <w:jc w:val="both"/>
        <w:rPr>
          <w:rFonts w:ascii="Calibri" w:eastAsia="Calibri" w:hAnsi="Calibri" w:cs="Arial"/>
          <w:b w:val="0"/>
          <w:color w:val="FF0000"/>
          <w:sz w:val="22"/>
          <w:szCs w:val="22"/>
          <w:lang w:val="el-GR"/>
        </w:rPr>
      </w:pPr>
      <w:r w:rsidRPr="00D60C9A">
        <w:rPr>
          <w:rFonts w:ascii="Calibri" w:eastAsia="Calibri" w:hAnsi="Calibri" w:cs="Arial"/>
          <w:b w:val="0"/>
          <w:color w:val="FF0000"/>
          <w:sz w:val="22"/>
          <w:szCs w:val="22"/>
          <w:lang w:val="el-GR"/>
        </w:rPr>
        <w:t xml:space="preserve">Το επίπεδο ανεργίας στην Ευρωζώνη (ΕΑ 19) έφτασε στο 7,4% τον </w:t>
      </w:r>
      <w:r w:rsidRPr="00D60C9A">
        <w:rPr>
          <w:rFonts w:ascii="Calibri" w:eastAsia="Calibri" w:hAnsi="Calibri" w:cs="Arial"/>
          <w:b w:val="0"/>
          <w:i/>
          <w:color w:val="FF0000"/>
          <w:sz w:val="22"/>
          <w:szCs w:val="22"/>
          <w:lang w:val="el-GR"/>
        </w:rPr>
        <w:t xml:space="preserve">Μάρτιο </w:t>
      </w:r>
      <w:r w:rsidRPr="00D60C9A">
        <w:rPr>
          <w:rFonts w:ascii="Calibri" w:eastAsia="Calibri" w:hAnsi="Calibri" w:cs="Arial"/>
          <w:b w:val="0"/>
          <w:color w:val="FF0000"/>
          <w:sz w:val="22"/>
          <w:szCs w:val="22"/>
          <w:lang w:val="el-GR"/>
        </w:rPr>
        <w:t>του</w:t>
      </w:r>
      <w:r w:rsidRPr="00D60C9A">
        <w:rPr>
          <w:rFonts w:ascii="Calibri" w:eastAsia="Calibri" w:hAnsi="Calibri" w:cs="Arial"/>
          <w:b w:val="0"/>
          <w:i/>
          <w:color w:val="FF0000"/>
          <w:sz w:val="22"/>
          <w:szCs w:val="22"/>
          <w:lang w:val="el-GR"/>
        </w:rPr>
        <w:t xml:space="preserve"> 2020 (τον μήνα που ξέσπασε ο Κορων</w:t>
      </w:r>
      <w:r w:rsidRPr="00D60C9A">
        <w:rPr>
          <w:rFonts w:ascii="Calibri" w:eastAsia="Calibri" w:hAnsi="Calibri" w:cs="Arial"/>
          <w:b w:val="0"/>
          <w:i/>
          <w:color w:val="FF0000"/>
          <w:sz w:val="22"/>
          <w:szCs w:val="22"/>
        </w:rPr>
        <w:t>o</w:t>
      </w:r>
      <w:r w:rsidRPr="00D60C9A">
        <w:rPr>
          <w:rFonts w:ascii="Calibri" w:eastAsia="Calibri" w:hAnsi="Calibri" w:cs="Arial"/>
          <w:b w:val="0"/>
          <w:i/>
          <w:color w:val="FF0000"/>
          <w:sz w:val="22"/>
          <w:szCs w:val="22"/>
          <w:lang w:val="el-GR"/>
        </w:rPr>
        <w:t>ιός) από 7,3% που ήταν τον Φεβρουάριο του 2020.</w:t>
      </w:r>
      <w:r w:rsidRPr="00D60C9A">
        <w:rPr>
          <w:rFonts w:ascii="Calibri" w:eastAsia="Calibri" w:hAnsi="Calibri" w:cs="Arial"/>
          <w:b w:val="0"/>
          <w:color w:val="FF0000"/>
          <w:sz w:val="22"/>
          <w:szCs w:val="22"/>
          <w:lang w:val="el-GR"/>
        </w:rPr>
        <w:t xml:space="preserve"> Ο μέσος όρος στην Ευρώπη (</w:t>
      </w:r>
      <w:r w:rsidRPr="00D60C9A">
        <w:rPr>
          <w:rFonts w:ascii="Calibri" w:eastAsia="Calibri" w:hAnsi="Calibri" w:cs="Arial"/>
          <w:b w:val="0"/>
          <w:color w:val="FF0000"/>
          <w:sz w:val="22"/>
          <w:szCs w:val="22"/>
        </w:rPr>
        <w:t>EU</w:t>
      </w:r>
      <w:r w:rsidRPr="00D60C9A">
        <w:rPr>
          <w:rFonts w:ascii="Calibri" w:eastAsia="Calibri" w:hAnsi="Calibri" w:cs="Arial"/>
          <w:b w:val="0"/>
          <w:color w:val="FF0000"/>
          <w:sz w:val="22"/>
          <w:szCs w:val="22"/>
          <w:lang w:val="el-GR"/>
        </w:rPr>
        <w:t xml:space="preserve"> 27) έφτασε στο 6,6% τον </w:t>
      </w:r>
      <w:r w:rsidRPr="00D60C9A">
        <w:rPr>
          <w:rFonts w:ascii="Calibri" w:eastAsia="Calibri" w:hAnsi="Calibri" w:cs="Arial"/>
          <w:b w:val="0"/>
          <w:i/>
          <w:color w:val="FF0000"/>
          <w:sz w:val="22"/>
          <w:szCs w:val="22"/>
          <w:lang w:val="el-GR"/>
        </w:rPr>
        <w:t xml:space="preserve">Μάρτιο </w:t>
      </w:r>
      <w:r w:rsidRPr="00D60C9A">
        <w:rPr>
          <w:rFonts w:ascii="Calibri" w:eastAsia="Calibri" w:hAnsi="Calibri" w:cs="Arial"/>
          <w:b w:val="0"/>
          <w:color w:val="FF0000"/>
          <w:sz w:val="22"/>
          <w:szCs w:val="22"/>
          <w:lang w:val="el-GR"/>
        </w:rPr>
        <w:t>του</w:t>
      </w:r>
      <w:r w:rsidRPr="00D60C9A">
        <w:rPr>
          <w:rFonts w:ascii="Calibri" w:eastAsia="Calibri" w:hAnsi="Calibri" w:cs="Arial"/>
          <w:b w:val="0"/>
          <w:i/>
          <w:color w:val="FF0000"/>
          <w:sz w:val="22"/>
          <w:szCs w:val="22"/>
          <w:lang w:val="el-GR"/>
        </w:rPr>
        <w:t xml:space="preserve"> 2020 από 6,5% που ήταν τον Φεβρουάριο του 2020</w:t>
      </w:r>
      <w:r w:rsidRPr="00D60C9A">
        <w:rPr>
          <w:rFonts w:ascii="Calibri" w:eastAsia="Calibri" w:hAnsi="Calibri" w:cs="Arial"/>
          <w:b w:val="0"/>
          <w:color w:val="FF0000"/>
          <w:sz w:val="22"/>
          <w:szCs w:val="22"/>
          <w:lang w:val="el-GR"/>
        </w:rPr>
        <w:t xml:space="preserve">. </w:t>
      </w:r>
    </w:p>
    <w:p w:rsidR="00E1315B" w:rsidRPr="00D60C9A" w:rsidRDefault="00891646" w:rsidP="00E1315B">
      <w:pPr>
        <w:spacing w:after="200" w:line="276" w:lineRule="auto"/>
        <w:jc w:val="both"/>
        <w:rPr>
          <w:rStyle w:val="apple-converted-space"/>
          <w:rFonts w:ascii="Arial" w:hAnsi="Arial" w:cs="Arial"/>
          <w:b w:val="0"/>
          <w:color w:val="FF0000"/>
          <w:sz w:val="22"/>
          <w:szCs w:val="22"/>
          <w:shd w:val="clear" w:color="auto" w:fill="FFFFFF"/>
          <w:lang w:val="el-GR"/>
        </w:rPr>
      </w:pPr>
      <w:r w:rsidRPr="00D60C9A">
        <w:rPr>
          <w:rFonts w:asciiTheme="minorHAnsi" w:hAnsiTheme="minorHAnsi" w:cs="Arial"/>
          <w:b w:val="0"/>
          <w:color w:val="FF0000"/>
          <w:sz w:val="22"/>
          <w:szCs w:val="22"/>
          <w:shd w:val="clear" w:color="auto" w:fill="FFFFFF"/>
          <w:lang w:val="el-GR"/>
        </w:rPr>
        <w:t xml:space="preserve">Με βάση τα στοιχεία που τηρούνται στα Επαρχιακά Γραφεία Εργασίας, ο αριθμός των εγγεγραμμένων ανέργων στο τέλος </w:t>
      </w:r>
      <w:r w:rsidR="00A1599F" w:rsidRPr="00D60C9A">
        <w:rPr>
          <w:rFonts w:asciiTheme="minorHAnsi" w:hAnsiTheme="minorHAnsi" w:cs="Arial"/>
          <w:b w:val="0"/>
          <w:color w:val="FF0000"/>
          <w:sz w:val="22"/>
          <w:szCs w:val="22"/>
          <w:shd w:val="clear" w:color="auto" w:fill="FFFFFF"/>
          <w:lang w:val="el-GR"/>
        </w:rPr>
        <w:t xml:space="preserve">Απριλίου </w:t>
      </w:r>
      <w:r w:rsidR="007B31A3" w:rsidRPr="00D60C9A">
        <w:rPr>
          <w:rFonts w:asciiTheme="minorHAnsi" w:hAnsiTheme="minorHAnsi" w:cs="Arial"/>
          <w:b w:val="0"/>
          <w:color w:val="FF0000"/>
          <w:sz w:val="22"/>
          <w:szCs w:val="22"/>
          <w:shd w:val="clear" w:color="auto" w:fill="FFFFFF"/>
          <w:lang w:val="el-GR"/>
        </w:rPr>
        <w:t>2020</w:t>
      </w:r>
      <w:r w:rsidRPr="00D60C9A">
        <w:rPr>
          <w:rFonts w:asciiTheme="minorHAnsi" w:hAnsiTheme="minorHAnsi" w:cs="Arial"/>
          <w:b w:val="0"/>
          <w:color w:val="FF0000"/>
          <w:sz w:val="22"/>
          <w:szCs w:val="22"/>
          <w:shd w:val="clear" w:color="auto" w:fill="FFFFFF"/>
          <w:lang w:val="el-GR"/>
        </w:rPr>
        <w:t xml:space="preserve">, έφτασε τα </w:t>
      </w:r>
      <w:r w:rsidR="00BD475B" w:rsidRPr="00D60C9A">
        <w:rPr>
          <w:rFonts w:asciiTheme="minorHAnsi" w:hAnsiTheme="minorHAnsi" w:cs="Arial"/>
          <w:b w:val="0"/>
          <w:color w:val="FF0000"/>
          <w:sz w:val="22"/>
          <w:szCs w:val="22"/>
          <w:shd w:val="clear" w:color="auto" w:fill="FFFFFF"/>
          <w:lang w:val="el-GR"/>
        </w:rPr>
        <w:t>2</w:t>
      </w:r>
      <w:r w:rsidR="00A1599F" w:rsidRPr="00D60C9A">
        <w:rPr>
          <w:rFonts w:asciiTheme="minorHAnsi" w:hAnsiTheme="minorHAnsi" w:cs="Arial"/>
          <w:b w:val="0"/>
          <w:color w:val="FF0000"/>
          <w:sz w:val="22"/>
          <w:szCs w:val="22"/>
          <w:shd w:val="clear" w:color="auto" w:fill="FFFFFF"/>
          <w:lang w:val="el-GR"/>
        </w:rPr>
        <w:t>8</w:t>
      </w:r>
      <w:r w:rsidR="00BD475B" w:rsidRPr="00D60C9A">
        <w:rPr>
          <w:rFonts w:asciiTheme="minorHAnsi" w:hAnsiTheme="minorHAnsi" w:cs="Arial"/>
          <w:b w:val="0"/>
          <w:color w:val="FF0000"/>
          <w:sz w:val="22"/>
          <w:szCs w:val="22"/>
          <w:shd w:val="clear" w:color="auto" w:fill="FFFFFF"/>
          <w:lang w:val="el-GR"/>
        </w:rPr>
        <w:t>.</w:t>
      </w:r>
      <w:r w:rsidR="00A1599F" w:rsidRPr="00D60C9A">
        <w:rPr>
          <w:rFonts w:asciiTheme="minorHAnsi" w:hAnsiTheme="minorHAnsi" w:cs="Arial"/>
          <w:b w:val="0"/>
          <w:color w:val="FF0000"/>
          <w:sz w:val="22"/>
          <w:szCs w:val="22"/>
          <w:shd w:val="clear" w:color="auto" w:fill="FFFFFF"/>
          <w:lang w:val="el-GR"/>
        </w:rPr>
        <w:t>591</w:t>
      </w:r>
      <w:r w:rsidRPr="00D60C9A">
        <w:rPr>
          <w:rFonts w:asciiTheme="minorHAnsi" w:hAnsiTheme="minorHAnsi" w:cs="Arial"/>
          <w:b w:val="0"/>
          <w:color w:val="FF0000"/>
          <w:sz w:val="22"/>
          <w:szCs w:val="22"/>
          <w:shd w:val="clear" w:color="auto" w:fill="FFFFFF"/>
          <w:lang w:val="el-GR"/>
        </w:rPr>
        <w:t xml:space="preserve"> </w:t>
      </w:r>
      <w:r w:rsidR="00EF1905" w:rsidRPr="00D60C9A">
        <w:rPr>
          <w:rFonts w:asciiTheme="minorHAnsi" w:hAnsiTheme="minorHAnsi" w:cs="Arial"/>
          <w:b w:val="0"/>
          <w:color w:val="FF0000"/>
          <w:sz w:val="22"/>
          <w:szCs w:val="22"/>
          <w:shd w:val="clear" w:color="auto" w:fill="FFFFFF"/>
          <w:lang w:val="el-GR"/>
        </w:rPr>
        <w:t>άτομα</w:t>
      </w:r>
      <w:r w:rsidRPr="00D60C9A">
        <w:rPr>
          <w:rFonts w:asciiTheme="minorHAnsi" w:hAnsiTheme="minorHAnsi" w:cs="Arial"/>
          <w:b w:val="0"/>
          <w:color w:val="FF0000"/>
          <w:sz w:val="22"/>
          <w:szCs w:val="22"/>
          <w:shd w:val="clear" w:color="auto" w:fill="FFFFFF"/>
          <w:lang w:val="el-GR"/>
        </w:rPr>
        <w:t xml:space="preserve">. </w:t>
      </w:r>
      <w:r w:rsidR="00B15E15" w:rsidRPr="00D60C9A">
        <w:rPr>
          <w:rFonts w:asciiTheme="minorHAnsi" w:hAnsiTheme="minorHAnsi" w:cs="Arial"/>
          <w:b w:val="0"/>
          <w:color w:val="FF0000"/>
          <w:sz w:val="22"/>
          <w:szCs w:val="22"/>
          <w:shd w:val="clear" w:color="auto" w:fill="FFFFFF"/>
          <w:lang w:val="el-GR"/>
        </w:rPr>
        <w:t xml:space="preserve">Με βάση τα στοιχεία </w:t>
      </w:r>
      <w:r w:rsidR="00B15E15" w:rsidRPr="00D60C9A">
        <w:rPr>
          <w:rFonts w:asciiTheme="minorHAnsi" w:hAnsiTheme="minorHAnsi" w:cs="Arial"/>
          <w:b w:val="0"/>
          <w:i/>
          <w:color w:val="FF0000"/>
          <w:sz w:val="22"/>
          <w:szCs w:val="22"/>
          <w:shd w:val="clear" w:color="auto" w:fill="FFFFFF"/>
          <w:lang w:val="el-GR"/>
        </w:rPr>
        <w:t>διορθωμένα για εποχικές διακυμάνσεις</w:t>
      </w:r>
      <w:r w:rsidR="00B15E15" w:rsidRPr="00D60C9A">
        <w:rPr>
          <w:rFonts w:asciiTheme="minorHAnsi" w:hAnsiTheme="minorHAnsi" w:cs="Arial"/>
          <w:b w:val="0"/>
          <w:color w:val="FF0000"/>
          <w:sz w:val="22"/>
          <w:szCs w:val="22"/>
          <w:shd w:val="clear" w:color="auto" w:fill="FFFFFF"/>
          <w:lang w:val="el-GR"/>
        </w:rPr>
        <w:t xml:space="preserve"> που δείχνουν την τάση της ανεργίας, ο αριθμός των εγγεγραμμένων ανέργων το</w:t>
      </w:r>
      <w:r w:rsidR="001065F9" w:rsidRPr="00D60C9A">
        <w:rPr>
          <w:rFonts w:asciiTheme="minorHAnsi" w:hAnsiTheme="minorHAnsi" w:cs="Arial"/>
          <w:b w:val="0"/>
          <w:color w:val="FF0000"/>
          <w:sz w:val="22"/>
          <w:szCs w:val="22"/>
          <w:shd w:val="clear" w:color="auto" w:fill="FFFFFF"/>
          <w:lang w:val="el-GR"/>
        </w:rPr>
        <w:t>ν</w:t>
      </w:r>
      <w:r w:rsidR="00B15E15" w:rsidRPr="00D60C9A">
        <w:rPr>
          <w:rFonts w:asciiTheme="minorHAnsi" w:hAnsiTheme="minorHAnsi" w:cs="Arial"/>
          <w:b w:val="0"/>
          <w:color w:val="FF0000"/>
          <w:sz w:val="22"/>
          <w:szCs w:val="22"/>
          <w:shd w:val="clear" w:color="auto" w:fill="FFFFFF"/>
          <w:lang w:val="el-GR"/>
        </w:rPr>
        <w:t xml:space="preserve"> </w:t>
      </w:r>
      <w:r w:rsidR="00A1599F" w:rsidRPr="00D60C9A">
        <w:rPr>
          <w:rFonts w:asciiTheme="minorHAnsi" w:hAnsiTheme="minorHAnsi" w:cs="Arial"/>
          <w:b w:val="0"/>
          <w:color w:val="FF0000"/>
          <w:sz w:val="22"/>
          <w:szCs w:val="22"/>
          <w:shd w:val="clear" w:color="auto" w:fill="FFFFFF"/>
          <w:lang w:val="el-GR"/>
        </w:rPr>
        <w:t>Απρίλιο</w:t>
      </w:r>
      <w:r w:rsidR="00B15E15" w:rsidRPr="00D60C9A">
        <w:rPr>
          <w:rFonts w:asciiTheme="minorHAnsi" w:hAnsiTheme="minorHAnsi" w:cs="Arial"/>
          <w:b w:val="0"/>
          <w:color w:val="FF0000"/>
          <w:sz w:val="22"/>
          <w:szCs w:val="22"/>
          <w:shd w:val="clear" w:color="auto" w:fill="FFFFFF"/>
          <w:lang w:val="el-GR"/>
        </w:rPr>
        <w:t xml:space="preserve"> </w:t>
      </w:r>
      <w:r w:rsidR="00F56E13" w:rsidRPr="00D60C9A">
        <w:rPr>
          <w:rFonts w:asciiTheme="minorHAnsi" w:hAnsiTheme="minorHAnsi" w:cs="Arial"/>
          <w:b w:val="0"/>
          <w:color w:val="FF0000"/>
          <w:sz w:val="22"/>
          <w:szCs w:val="22"/>
          <w:shd w:val="clear" w:color="auto" w:fill="FFFFFF"/>
          <w:lang w:val="el-GR"/>
        </w:rPr>
        <w:t xml:space="preserve">του </w:t>
      </w:r>
      <w:r w:rsidR="00B15E15" w:rsidRPr="00D60C9A">
        <w:rPr>
          <w:rFonts w:asciiTheme="minorHAnsi" w:hAnsiTheme="minorHAnsi" w:cs="Arial"/>
          <w:b w:val="0"/>
          <w:color w:val="FF0000"/>
          <w:sz w:val="22"/>
          <w:szCs w:val="22"/>
          <w:shd w:val="clear" w:color="auto" w:fill="FFFFFF"/>
          <w:lang w:val="el-GR"/>
        </w:rPr>
        <w:t>20</w:t>
      </w:r>
      <w:r w:rsidR="0005381F" w:rsidRPr="00D60C9A">
        <w:rPr>
          <w:rFonts w:asciiTheme="minorHAnsi" w:hAnsiTheme="minorHAnsi" w:cs="Arial"/>
          <w:b w:val="0"/>
          <w:color w:val="FF0000"/>
          <w:sz w:val="22"/>
          <w:szCs w:val="22"/>
          <w:shd w:val="clear" w:color="auto" w:fill="FFFFFF"/>
          <w:lang w:val="el-GR"/>
        </w:rPr>
        <w:t>20</w:t>
      </w:r>
      <w:r w:rsidR="00B15E15" w:rsidRPr="00D60C9A">
        <w:rPr>
          <w:rFonts w:asciiTheme="minorHAnsi" w:hAnsiTheme="minorHAnsi" w:cs="Arial"/>
          <w:b w:val="0"/>
          <w:color w:val="FF0000"/>
          <w:sz w:val="22"/>
          <w:szCs w:val="22"/>
          <w:shd w:val="clear" w:color="auto" w:fill="FFFFFF"/>
          <w:lang w:val="el-GR"/>
        </w:rPr>
        <w:t xml:space="preserve"> </w:t>
      </w:r>
      <w:r w:rsidR="00BD475B" w:rsidRPr="00D60C9A">
        <w:rPr>
          <w:rFonts w:asciiTheme="minorHAnsi" w:hAnsiTheme="minorHAnsi" w:cs="Arial"/>
          <w:b w:val="0"/>
          <w:color w:val="FF0000"/>
          <w:sz w:val="22"/>
          <w:szCs w:val="22"/>
          <w:shd w:val="clear" w:color="auto" w:fill="FFFFFF"/>
          <w:lang w:val="el-GR"/>
        </w:rPr>
        <w:t>αυξή</w:t>
      </w:r>
      <w:r w:rsidR="00B15E15" w:rsidRPr="00D60C9A">
        <w:rPr>
          <w:rFonts w:asciiTheme="minorHAnsi" w:hAnsiTheme="minorHAnsi" w:cs="Arial"/>
          <w:b w:val="0"/>
          <w:color w:val="FF0000"/>
          <w:sz w:val="22"/>
          <w:szCs w:val="22"/>
          <w:shd w:val="clear" w:color="auto" w:fill="FFFFFF"/>
          <w:lang w:val="el-GR"/>
        </w:rPr>
        <w:t xml:space="preserve">θηκε στα </w:t>
      </w:r>
      <w:r w:rsidR="00A1599F" w:rsidRPr="00D60C9A">
        <w:rPr>
          <w:rFonts w:asciiTheme="minorHAnsi" w:hAnsiTheme="minorHAnsi" w:cs="Arial"/>
          <w:b w:val="0"/>
          <w:color w:val="FF0000"/>
          <w:sz w:val="22"/>
          <w:szCs w:val="22"/>
          <w:shd w:val="clear" w:color="auto" w:fill="FFFFFF"/>
          <w:lang w:val="el-GR"/>
        </w:rPr>
        <w:t>30.461</w:t>
      </w:r>
      <w:r w:rsidR="00B15E15" w:rsidRPr="00D60C9A">
        <w:rPr>
          <w:rFonts w:asciiTheme="minorHAnsi" w:hAnsiTheme="minorHAnsi" w:cs="Arial"/>
          <w:b w:val="0"/>
          <w:color w:val="FF0000"/>
          <w:sz w:val="22"/>
          <w:szCs w:val="22"/>
          <w:shd w:val="clear" w:color="auto" w:fill="FFFFFF"/>
          <w:lang w:val="el-GR"/>
        </w:rPr>
        <w:t xml:space="preserve"> </w:t>
      </w:r>
      <w:r w:rsidR="00EF1905" w:rsidRPr="00D60C9A">
        <w:rPr>
          <w:rFonts w:asciiTheme="minorHAnsi" w:hAnsiTheme="minorHAnsi" w:cs="Arial"/>
          <w:b w:val="0"/>
          <w:color w:val="FF0000"/>
          <w:sz w:val="22"/>
          <w:szCs w:val="22"/>
          <w:shd w:val="clear" w:color="auto" w:fill="FFFFFF"/>
          <w:lang w:val="el-GR"/>
        </w:rPr>
        <w:t>άτομα</w:t>
      </w:r>
      <w:r w:rsidR="00B15E15" w:rsidRPr="00D60C9A">
        <w:rPr>
          <w:rFonts w:asciiTheme="minorHAnsi" w:hAnsiTheme="minorHAnsi" w:cs="Arial"/>
          <w:b w:val="0"/>
          <w:color w:val="FF0000"/>
          <w:sz w:val="22"/>
          <w:szCs w:val="22"/>
          <w:shd w:val="clear" w:color="auto" w:fill="FFFFFF"/>
          <w:lang w:val="el-GR"/>
        </w:rPr>
        <w:t xml:space="preserve"> σε σύγκριση με </w:t>
      </w:r>
      <w:r w:rsidR="00A1599F" w:rsidRPr="00D60C9A">
        <w:rPr>
          <w:rFonts w:asciiTheme="minorHAnsi" w:hAnsiTheme="minorHAnsi" w:cs="Arial"/>
          <w:b w:val="0"/>
          <w:color w:val="FF0000"/>
          <w:sz w:val="22"/>
          <w:szCs w:val="22"/>
          <w:shd w:val="clear" w:color="auto" w:fill="FFFFFF"/>
          <w:lang w:val="el-GR"/>
        </w:rPr>
        <w:t>21.951</w:t>
      </w:r>
      <w:r w:rsidR="00B15E15" w:rsidRPr="00D60C9A">
        <w:rPr>
          <w:rFonts w:asciiTheme="minorHAnsi" w:hAnsiTheme="minorHAnsi" w:cs="Arial"/>
          <w:b w:val="0"/>
          <w:color w:val="FF0000"/>
          <w:sz w:val="22"/>
          <w:szCs w:val="22"/>
          <w:shd w:val="clear" w:color="auto" w:fill="FFFFFF"/>
          <w:lang w:val="el-GR"/>
        </w:rPr>
        <w:t xml:space="preserve"> τον προηγούμενο μήνα.</w:t>
      </w:r>
      <w:r w:rsidR="00B15E15" w:rsidRPr="00D60C9A">
        <w:rPr>
          <w:rStyle w:val="apple-converted-space"/>
          <w:rFonts w:asciiTheme="minorHAnsi" w:hAnsiTheme="minorHAnsi" w:cs="Arial"/>
          <w:b w:val="0"/>
          <w:color w:val="FF0000"/>
          <w:sz w:val="22"/>
          <w:szCs w:val="22"/>
          <w:shd w:val="clear" w:color="auto" w:fill="FFFFFF"/>
        </w:rPr>
        <w:t> </w:t>
      </w:r>
      <w:r w:rsidR="00B15E15" w:rsidRPr="00D60C9A">
        <w:rPr>
          <w:rFonts w:asciiTheme="minorHAnsi" w:hAnsiTheme="minorHAnsi"/>
          <w:b w:val="0"/>
          <w:color w:val="FF0000"/>
          <w:sz w:val="22"/>
          <w:szCs w:val="22"/>
          <w:lang w:val="el-GR"/>
        </w:rPr>
        <w:t xml:space="preserve"> </w:t>
      </w:r>
      <w:r w:rsidR="00B15E15" w:rsidRPr="00D60C9A">
        <w:rPr>
          <w:rFonts w:asciiTheme="minorHAnsi" w:hAnsiTheme="minorHAnsi" w:cs="Arial"/>
          <w:b w:val="0"/>
          <w:color w:val="FF0000"/>
          <w:sz w:val="22"/>
          <w:szCs w:val="22"/>
          <w:shd w:val="clear" w:color="auto" w:fill="FFFFFF"/>
          <w:lang w:val="el-GR"/>
        </w:rPr>
        <w:t>Σε σύγκριση με το</w:t>
      </w:r>
      <w:r w:rsidR="001065F9" w:rsidRPr="00D60C9A">
        <w:rPr>
          <w:rFonts w:asciiTheme="minorHAnsi" w:hAnsiTheme="minorHAnsi" w:cs="Arial"/>
          <w:b w:val="0"/>
          <w:color w:val="FF0000"/>
          <w:sz w:val="22"/>
          <w:szCs w:val="22"/>
          <w:shd w:val="clear" w:color="auto" w:fill="FFFFFF"/>
          <w:lang w:val="el-GR"/>
        </w:rPr>
        <w:t>ν</w:t>
      </w:r>
      <w:r w:rsidR="00782DE9" w:rsidRPr="00D60C9A">
        <w:rPr>
          <w:rFonts w:asciiTheme="minorHAnsi" w:hAnsiTheme="minorHAnsi" w:cs="Arial"/>
          <w:b w:val="0"/>
          <w:color w:val="FF0000"/>
          <w:sz w:val="22"/>
          <w:szCs w:val="22"/>
          <w:shd w:val="clear" w:color="auto" w:fill="FFFFFF"/>
          <w:lang w:val="el-GR"/>
        </w:rPr>
        <w:t xml:space="preserve"> </w:t>
      </w:r>
      <w:r w:rsidR="00A1599F" w:rsidRPr="00D60C9A">
        <w:rPr>
          <w:rFonts w:asciiTheme="minorHAnsi" w:hAnsiTheme="minorHAnsi" w:cs="Arial"/>
          <w:b w:val="0"/>
          <w:color w:val="FF0000"/>
          <w:sz w:val="22"/>
          <w:szCs w:val="22"/>
          <w:shd w:val="clear" w:color="auto" w:fill="FFFFFF"/>
          <w:lang w:val="el-GR"/>
        </w:rPr>
        <w:t>Απρίλιο</w:t>
      </w:r>
      <w:r w:rsidR="00BD2FCF" w:rsidRPr="00D60C9A">
        <w:rPr>
          <w:rFonts w:asciiTheme="minorHAnsi" w:hAnsiTheme="minorHAnsi" w:cs="Arial"/>
          <w:b w:val="0"/>
          <w:color w:val="FF0000"/>
          <w:sz w:val="22"/>
          <w:szCs w:val="22"/>
          <w:shd w:val="clear" w:color="auto" w:fill="FFFFFF"/>
          <w:lang w:val="el-GR"/>
        </w:rPr>
        <w:t xml:space="preserve"> </w:t>
      </w:r>
      <w:r w:rsidR="00B15E15" w:rsidRPr="00D60C9A">
        <w:rPr>
          <w:rFonts w:asciiTheme="minorHAnsi" w:hAnsiTheme="minorHAnsi" w:cs="Arial"/>
          <w:b w:val="0"/>
          <w:color w:val="FF0000"/>
          <w:sz w:val="22"/>
          <w:szCs w:val="22"/>
          <w:shd w:val="clear" w:color="auto" w:fill="FFFFFF"/>
          <w:lang w:val="el-GR"/>
        </w:rPr>
        <w:t>του 201</w:t>
      </w:r>
      <w:r w:rsidR="0005381F" w:rsidRPr="00D60C9A">
        <w:rPr>
          <w:rFonts w:asciiTheme="minorHAnsi" w:hAnsiTheme="minorHAnsi" w:cs="Arial"/>
          <w:b w:val="0"/>
          <w:color w:val="FF0000"/>
          <w:sz w:val="22"/>
          <w:szCs w:val="22"/>
          <w:shd w:val="clear" w:color="auto" w:fill="FFFFFF"/>
          <w:lang w:val="el-GR"/>
        </w:rPr>
        <w:t>9</w:t>
      </w:r>
      <w:r w:rsidR="00B15E15" w:rsidRPr="00D60C9A">
        <w:rPr>
          <w:rFonts w:asciiTheme="minorHAnsi" w:hAnsiTheme="minorHAnsi" w:cs="Arial"/>
          <w:b w:val="0"/>
          <w:color w:val="FF0000"/>
          <w:sz w:val="22"/>
          <w:szCs w:val="22"/>
          <w:shd w:val="clear" w:color="auto" w:fill="FFFFFF"/>
          <w:lang w:val="el-GR"/>
        </w:rPr>
        <w:t xml:space="preserve"> σημειώθηκε </w:t>
      </w:r>
      <w:r w:rsidR="00A1599F" w:rsidRPr="00D60C9A">
        <w:rPr>
          <w:rFonts w:asciiTheme="minorHAnsi" w:hAnsiTheme="minorHAnsi" w:cs="Arial"/>
          <w:b w:val="0"/>
          <w:color w:val="FF0000"/>
          <w:sz w:val="22"/>
          <w:szCs w:val="22"/>
          <w:shd w:val="clear" w:color="auto" w:fill="FFFFFF"/>
          <w:lang w:val="el-GR"/>
        </w:rPr>
        <w:t>αύξηση 8.276</w:t>
      </w:r>
      <w:r w:rsidR="00B15E15" w:rsidRPr="00D60C9A">
        <w:rPr>
          <w:rFonts w:asciiTheme="minorHAnsi" w:hAnsiTheme="minorHAnsi" w:cs="Arial"/>
          <w:b w:val="0"/>
          <w:color w:val="FF0000"/>
          <w:sz w:val="22"/>
          <w:szCs w:val="22"/>
          <w:shd w:val="clear" w:color="auto" w:fill="FFFFFF"/>
          <w:lang w:val="el-GR"/>
        </w:rPr>
        <w:t xml:space="preserve"> </w:t>
      </w:r>
      <w:r w:rsidR="00EF1905" w:rsidRPr="00D60C9A">
        <w:rPr>
          <w:rFonts w:asciiTheme="minorHAnsi" w:hAnsiTheme="minorHAnsi" w:cs="Arial"/>
          <w:b w:val="0"/>
          <w:color w:val="FF0000"/>
          <w:sz w:val="22"/>
          <w:szCs w:val="22"/>
          <w:shd w:val="clear" w:color="auto" w:fill="FFFFFF"/>
          <w:lang w:val="el-GR"/>
        </w:rPr>
        <w:t>ατόμ</w:t>
      </w:r>
      <w:r w:rsidR="00B15E15" w:rsidRPr="00D60C9A">
        <w:rPr>
          <w:rFonts w:asciiTheme="minorHAnsi" w:hAnsiTheme="minorHAnsi" w:cs="Arial"/>
          <w:b w:val="0"/>
          <w:color w:val="FF0000"/>
          <w:sz w:val="22"/>
          <w:szCs w:val="22"/>
          <w:shd w:val="clear" w:color="auto" w:fill="FFFFFF"/>
          <w:lang w:val="el-GR"/>
        </w:rPr>
        <w:t>ων ή</w:t>
      </w:r>
      <w:r w:rsidR="008D2FF5" w:rsidRPr="00D60C9A">
        <w:rPr>
          <w:rFonts w:asciiTheme="minorHAnsi" w:hAnsiTheme="minorHAnsi" w:cs="Arial"/>
          <w:b w:val="0"/>
          <w:color w:val="FF0000"/>
          <w:sz w:val="22"/>
          <w:szCs w:val="22"/>
          <w:shd w:val="clear" w:color="auto" w:fill="FFFFFF"/>
          <w:lang w:val="el-GR"/>
        </w:rPr>
        <w:t xml:space="preserve"> </w:t>
      </w:r>
      <w:r w:rsidR="00A1599F" w:rsidRPr="00D60C9A">
        <w:rPr>
          <w:rFonts w:asciiTheme="minorHAnsi" w:hAnsiTheme="minorHAnsi" w:cs="Arial"/>
          <w:b w:val="0"/>
          <w:color w:val="FF0000"/>
          <w:sz w:val="22"/>
          <w:szCs w:val="22"/>
          <w:shd w:val="clear" w:color="auto" w:fill="FFFFFF"/>
          <w:lang w:val="el-GR"/>
        </w:rPr>
        <w:t>40,7</w:t>
      </w:r>
      <w:r w:rsidR="00B15E15" w:rsidRPr="00D60C9A">
        <w:rPr>
          <w:rFonts w:asciiTheme="minorHAnsi" w:hAnsiTheme="minorHAnsi" w:cs="Arial"/>
          <w:b w:val="0"/>
          <w:color w:val="FF0000"/>
          <w:sz w:val="22"/>
          <w:szCs w:val="22"/>
          <w:shd w:val="clear" w:color="auto" w:fill="FFFFFF"/>
          <w:lang w:val="el-GR"/>
        </w:rPr>
        <w:t>%.</w:t>
      </w:r>
      <w:r w:rsidR="00B15E15" w:rsidRPr="00D60C9A">
        <w:rPr>
          <w:rStyle w:val="apple-converted-space"/>
          <w:rFonts w:ascii="Arial" w:hAnsi="Arial" w:cs="Arial"/>
          <w:b w:val="0"/>
          <w:color w:val="FF0000"/>
          <w:sz w:val="22"/>
          <w:szCs w:val="22"/>
          <w:shd w:val="clear" w:color="auto" w:fill="FFFFFF"/>
        </w:rPr>
        <w:t> </w:t>
      </w:r>
    </w:p>
    <w:p w:rsidR="00F8579E" w:rsidRPr="00E1315B" w:rsidRDefault="00296374" w:rsidP="00E1315B">
      <w:pPr>
        <w:spacing w:after="200" w:line="276" w:lineRule="auto"/>
        <w:jc w:val="both"/>
        <w:rPr>
          <w:rFonts w:ascii="Arial" w:hAnsi="Arial" w:cs="Arial"/>
          <w:b w:val="0"/>
          <w:color w:val="FF0000"/>
          <w:sz w:val="22"/>
          <w:szCs w:val="22"/>
          <w:shd w:val="clear" w:color="auto" w:fill="FFFFFF"/>
          <w:lang w:val="el-GR"/>
        </w:rPr>
      </w:pPr>
      <w:r w:rsidRPr="00E1315B">
        <w:rPr>
          <w:rFonts w:asciiTheme="minorHAnsi" w:hAnsiTheme="minorHAnsi" w:cs="Calibri"/>
          <w:b w:val="0"/>
          <w:color w:val="FF0000"/>
          <w:sz w:val="22"/>
          <w:szCs w:val="22"/>
          <w:lang w:val="el-GR"/>
        </w:rPr>
        <w:t xml:space="preserve">Σύμφωνα με την Έρευνα Εργατικού Δυναμικού, </w:t>
      </w:r>
      <w:r w:rsidR="000364C5" w:rsidRPr="00E1315B">
        <w:rPr>
          <w:rFonts w:asciiTheme="minorHAnsi" w:hAnsiTheme="minorHAnsi"/>
          <w:b w:val="0"/>
          <w:color w:val="FF0000"/>
          <w:sz w:val="22"/>
          <w:szCs w:val="22"/>
          <w:u w:color="000000"/>
          <w:lang w:val="el-GR"/>
        </w:rPr>
        <w:t xml:space="preserve">το επίπεδο απασχόλησης </w:t>
      </w:r>
      <w:r w:rsidR="00627DFE" w:rsidRPr="00E1315B">
        <w:rPr>
          <w:rFonts w:asciiTheme="minorHAnsi" w:hAnsiTheme="minorHAnsi"/>
          <w:b w:val="0"/>
          <w:color w:val="FF0000"/>
          <w:sz w:val="22"/>
          <w:szCs w:val="22"/>
          <w:u w:color="000000"/>
          <w:lang w:val="el-GR"/>
        </w:rPr>
        <w:t xml:space="preserve">(15+) </w:t>
      </w:r>
      <w:r w:rsidR="000364C5" w:rsidRPr="00E1315B">
        <w:rPr>
          <w:rFonts w:asciiTheme="minorHAnsi" w:hAnsiTheme="minorHAnsi"/>
          <w:b w:val="0"/>
          <w:color w:val="FF0000"/>
          <w:sz w:val="22"/>
          <w:szCs w:val="22"/>
          <w:u w:color="000000"/>
          <w:lang w:val="el-GR"/>
        </w:rPr>
        <w:t>το</w:t>
      </w:r>
      <w:r w:rsidR="00497F27" w:rsidRPr="00E1315B">
        <w:rPr>
          <w:rFonts w:asciiTheme="minorHAnsi" w:hAnsiTheme="minorHAnsi"/>
          <w:b w:val="0"/>
          <w:color w:val="FF0000"/>
          <w:sz w:val="22"/>
          <w:szCs w:val="22"/>
          <w:u w:color="000000"/>
          <w:lang w:val="el-GR"/>
        </w:rPr>
        <w:t xml:space="preserve"> </w:t>
      </w:r>
      <w:r w:rsidR="008E33B1">
        <w:rPr>
          <w:rFonts w:asciiTheme="minorHAnsi" w:hAnsiTheme="minorHAnsi"/>
          <w:b w:val="0"/>
          <w:color w:val="FF0000"/>
          <w:sz w:val="22"/>
          <w:szCs w:val="22"/>
          <w:u w:color="000000"/>
          <w:lang w:val="el-GR"/>
        </w:rPr>
        <w:t>πρώτο</w:t>
      </w:r>
      <w:r w:rsidR="00497F27" w:rsidRPr="00E1315B">
        <w:rPr>
          <w:rFonts w:asciiTheme="minorHAnsi" w:hAnsiTheme="minorHAnsi"/>
          <w:b w:val="0"/>
          <w:color w:val="FF0000"/>
          <w:sz w:val="22"/>
          <w:szCs w:val="22"/>
          <w:u w:color="000000"/>
          <w:lang w:val="el-GR"/>
        </w:rPr>
        <w:t xml:space="preserve"> τρίμηνο του</w:t>
      </w:r>
      <w:r w:rsidR="000364C5" w:rsidRPr="00E1315B">
        <w:rPr>
          <w:rFonts w:asciiTheme="minorHAnsi" w:hAnsiTheme="minorHAnsi"/>
          <w:b w:val="0"/>
          <w:color w:val="FF0000"/>
          <w:sz w:val="22"/>
          <w:szCs w:val="22"/>
          <w:u w:color="000000"/>
          <w:lang w:val="el-GR"/>
        </w:rPr>
        <w:t xml:space="preserve"> 20</w:t>
      </w:r>
      <w:r w:rsidR="008E33B1">
        <w:rPr>
          <w:rFonts w:asciiTheme="minorHAnsi" w:hAnsiTheme="minorHAnsi"/>
          <w:b w:val="0"/>
          <w:color w:val="FF0000"/>
          <w:sz w:val="22"/>
          <w:szCs w:val="22"/>
          <w:u w:color="000000"/>
          <w:lang w:val="el-GR"/>
        </w:rPr>
        <w:t>20</w:t>
      </w:r>
      <w:r w:rsidR="000364C5" w:rsidRPr="00E1315B">
        <w:rPr>
          <w:rFonts w:asciiTheme="minorHAnsi" w:hAnsiTheme="minorHAnsi"/>
          <w:b w:val="0"/>
          <w:color w:val="FF0000"/>
          <w:sz w:val="22"/>
          <w:szCs w:val="22"/>
          <w:u w:color="000000"/>
          <w:lang w:val="el-GR"/>
        </w:rPr>
        <w:t xml:space="preserve"> αυξήθηκε κατά </w:t>
      </w:r>
      <w:r w:rsidR="008E33B1">
        <w:rPr>
          <w:rFonts w:asciiTheme="minorHAnsi" w:hAnsiTheme="minorHAnsi"/>
          <w:b w:val="0"/>
          <w:color w:val="FF0000"/>
          <w:sz w:val="22"/>
          <w:szCs w:val="22"/>
          <w:u w:color="000000"/>
          <w:lang w:val="el-GR"/>
        </w:rPr>
        <w:t>7.940</w:t>
      </w:r>
      <w:r w:rsidR="001E6939" w:rsidRPr="00E1315B">
        <w:rPr>
          <w:rFonts w:asciiTheme="minorHAnsi" w:hAnsiTheme="minorHAnsi"/>
          <w:b w:val="0"/>
          <w:color w:val="FF0000"/>
          <w:sz w:val="22"/>
          <w:szCs w:val="22"/>
          <w:u w:color="000000"/>
          <w:lang w:val="el-GR"/>
        </w:rPr>
        <w:t xml:space="preserve"> άτομα</w:t>
      </w:r>
      <w:r w:rsidR="000364C5" w:rsidRPr="00E1315B">
        <w:rPr>
          <w:rFonts w:asciiTheme="minorHAnsi" w:hAnsiTheme="minorHAnsi"/>
          <w:b w:val="0"/>
          <w:color w:val="FF0000"/>
          <w:sz w:val="22"/>
          <w:szCs w:val="22"/>
          <w:u w:color="000000"/>
          <w:lang w:val="el-GR"/>
        </w:rPr>
        <w:t xml:space="preserve"> σε σύγκριση με το</w:t>
      </w:r>
      <w:r w:rsidR="00497F27" w:rsidRPr="00E1315B">
        <w:rPr>
          <w:rFonts w:asciiTheme="minorHAnsi" w:hAnsiTheme="minorHAnsi"/>
          <w:b w:val="0"/>
          <w:color w:val="FF0000"/>
          <w:sz w:val="22"/>
          <w:szCs w:val="22"/>
          <w:u w:color="000000"/>
          <w:lang w:val="el-GR"/>
        </w:rPr>
        <w:t xml:space="preserve"> ίδιο τρί</w:t>
      </w:r>
      <w:bookmarkStart w:id="0" w:name="_GoBack"/>
      <w:bookmarkEnd w:id="0"/>
      <w:r w:rsidR="00497F27" w:rsidRPr="00E1315B">
        <w:rPr>
          <w:rFonts w:asciiTheme="minorHAnsi" w:hAnsiTheme="minorHAnsi"/>
          <w:b w:val="0"/>
          <w:color w:val="FF0000"/>
          <w:sz w:val="22"/>
          <w:szCs w:val="22"/>
          <w:u w:color="000000"/>
          <w:lang w:val="el-GR"/>
        </w:rPr>
        <w:t>μηνο του</w:t>
      </w:r>
      <w:r w:rsidR="000364C5" w:rsidRPr="00E1315B">
        <w:rPr>
          <w:rFonts w:asciiTheme="minorHAnsi" w:hAnsiTheme="minorHAnsi"/>
          <w:b w:val="0"/>
          <w:color w:val="FF0000"/>
          <w:sz w:val="22"/>
          <w:szCs w:val="22"/>
          <w:u w:color="000000"/>
          <w:lang w:val="el-GR"/>
        </w:rPr>
        <w:t xml:space="preserve"> 201</w:t>
      </w:r>
      <w:r w:rsidR="008E33B1">
        <w:rPr>
          <w:rFonts w:asciiTheme="minorHAnsi" w:hAnsiTheme="minorHAnsi"/>
          <w:b w:val="0"/>
          <w:color w:val="FF0000"/>
          <w:sz w:val="22"/>
          <w:szCs w:val="22"/>
          <w:u w:color="000000"/>
          <w:lang w:val="el-GR"/>
        </w:rPr>
        <w:t>9</w:t>
      </w:r>
      <w:r w:rsidR="000364C5" w:rsidRPr="00E1315B">
        <w:rPr>
          <w:rFonts w:asciiTheme="minorHAnsi" w:hAnsiTheme="minorHAnsi"/>
          <w:b w:val="0"/>
          <w:color w:val="FF0000"/>
          <w:sz w:val="22"/>
          <w:szCs w:val="22"/>
          <w:u w:color="000000"/>
          <w:lang w:val="el-GR"/>
        </w:rPr>
        <w:t xml:space="preserve">, φτάνοντας στα </w:t>
      </w:r>
      <w:r w:rsidR="00ED5590" w:rsidRPr="00E1315B">
        <w:rPr>
          <w:rFonts w:asciiTheme="minorHAnsi" w:hAnsiTheme="minorHAnsi"/>
          <w:b w:val="0"/>
          <w:color w:val="FF0000"/>
          <w:sz w:val="22"/>
          <w:szCs w:val="22"/>
          <w:u w:color="000000"/>
          <w:lang w:val="el-GR"/>
        </w:rPr>
        <w:t>4</w:t>
      </w:r>
      <w:r w:rsidR="008E33B1">
        <w:rPr>
          <w:rFonts w:asciiTheme="minorHAnsi" w:hAnsiTheme="minorHAnsi"/>
          <w:b w:val="0"/>
          <w:color w:val="FF0000"/>
          <w:sz w:val="22"/>
          <w:szCs w:val="22"/>
          <w:u w:color="000000"/>
          <w:lang w:val="el-GR"/>
        </w:rPr>
        <w:t>17</w:t>
      </w:r>
      <w:r w:rsidR="00ED5590" w:rsidRPr="00E1315B">
        <w:rPr>
          <w:rFonts w:asciiTheme="minorHAnsi" w:hAnsiTheme="minorHAnsi"/>
          <w:b w:val="0"/>
          <w:color w:val="FF0000"/>
          <w:sz w:val="22"/>
          <w:szCs w:val="22"/>
          <w:u w:color="000000"/>
          <w:lang w:val="el-GR"/>
        </w:rPr>
        <w:t>.</w:t>
      </w:r>
      <w:r w:rsidR="008E33B1">
        <w:rPr>
          <w:rFonts w:asciiTheme="minorHAnsi" w:hAnsiTheme="minorHAnsi"/>
          <w:b w:val="0"/>
          <w:color w:val="FF0000"/>
          <w:sz w:val="22"/>
          <w:szCs w:val="22"/>
          <w:u w:color="000000"/>
          <w:lang w:val="el-GR"/>
        </w:rPr>
        <w:t>057</w:t>
      </w:r>
      <w:r w:rsidR="00417A11" w:rsidRPr="00E1315B">
        <w:rPr>
          <w:rFonts w:asciiTheme="minorHAnsi" w:hAnsiTheme="minorHAnsi"/>
          <w:b w:val="0"/>
          <w:color w:val="FF0000"/>
          <w:sz w:val="22"/>
          <w:szCs w:val="22"/>
          <w:u w:color="000000"/>
          <w:lang w:val="el-GR"/>
        </w:rPr>
        <w:t xml:space="preserve"> </w:t>
      </w:r>
      <w:r w:rsidR="000364C5" w:rsidRPr="00E1315B">
        <w:rPr>
          <w:rFonts w:asciiTheme="minorHAnsi" w:hAnsiTheme="minorHAnsi"/>
          <w:b w:val="0"/>
          <w:color w:val="FF0000"/>
          <w:sz w:val="22"/>
          <w:szCs w:val="22"/>
          <w:u w:color="000000"/>
          <w:lang w:val="el-GR"/>
        </w:rPr>
        <w:t xml:space="preserve">άτομα, από </w:t>
      </w:r>
      <w:r w:rsidR="00ED5590" w:rsidRPr="00E1315B">
        <w:rPr>
          <w:rFonts w:asciiTheme="minorHAnsi" w:hAnsiTheme="minorHAnsi"/>
          <w:b w:val="0"/>
          <w:color w:val="FF0000"/>
          <w:sz w:val="22"/>
          <w:szCs w:val="22"/>
          <w:u w:color="000000"/>
          <w:lang w:val="el-GR"/>
        </w:rPr>
        <w:t>40</w:t>
      </w:r>
      <w:r w:rsidR="008E33B1">
        <w:rPr>
          <w:rFonts w:asciiTheme="minorHAnsi" w:hAnsiTheme="minorHAnsi"/>
          <w:b w:val="0"/>
          <w:color w:val="FF0000"/>
          <w:sz w:val="22"/>
          <w:szCs w:val="22"/>
          <w:u w:color="000000"/>
          <w:lang w:val="el-GR"/>
        </w:rPr>
        <w:t>9</w:t>
      </w:r>
      <w:r w:rsidR="00ED5590" w:rsidRPr="00E1315B">
        <w:rPr>
          <w:rFonts w:asciiTheme="minorHAnsi" w:hAnsiTheme="minorHAnsi"/>
          <w:b w:val="0"/>
          <w:color w:val="FF0000"/>
          <w:sz w:val="22"/>
          <w:szCs w:val="22"/>
          <w:u w:color="000000"/>
          <w:lang w:val="el-GR"/>
        </w:rPr>
        <w:t>.</w:t>
      </w:r>
      <w:r w:rsidR="008E33B1">
        <w:rPr>
          <w:rFonts w:asciiTheme="minorHAnsi" w:hAnsiTheme="minorHAnsi"/>
          <w:b w:val="0"/>
          <w:color w:val="FF0000"/>
          <w:sz w:val="22"/>
          <w:szCs w:val="22"/>
          <w:u w:color="000000"/>
          <w:lang w:val="el-GR"/>
        </w:rPr>
        <w:t>117</w:t>
      </w:r>
      <w:r w:rsidR="000364C5" w:rsidRPr="00E1315B">
        <w:rPr>
          <w:rFonts w:asciiTheme="minorHAnsi" w:hAnsiTheme="minorHAnsi"/>
          <w:b w:val="0"/>
          <w:color w:val="FF0000"/>
          <w:sz w:val="22"/>
          <w:szCs w:val="22"/>
          <w:u w:color="000000"/>
          <w:lang w:val="el-GR"/>
        </w:rPr>
        <w:t xml:space="preserve"> άτομα που ήταν το</w:t>
      </w:r>
      <w:r w:rsidR="00036556" w:rsidRPr="00E1315B">
        <w:rPr>
          <w:rFonts w:asciiTheme="minorHAnsi" w:hAnsiTheme="minorHAnsi"/>
          <w:b w:val="0"/>
          <w:color w:val="FF0000"/>
          <w:sz w:val="22"/>
          <w:szCs w:val="22"/>
          <w:u w:color="000000"/>
          <w:lang w:val="el-GR"/>
        </w:rPr>
        <w:t xml:space="preserve"> </w:t>
      </w:r>
      <w:r w:rsidR="000364C5" w:rsidRPr="00E1315B">
        <w:rPr>
          <w:rFonts w:asciiTheme="minorHAnsi" w:hAnsiTheme="minorHAnsi"/>
          <w:b w:val="0"/>
          <w:color w:val="FF0000"/>
          <w:sz w:val="22"/>
          <w:szCs w:val="22"/>
          <w:u w:color="000000"/>
          <w:lang w:val="el-GR"/>
        </w:rPr>
        <w:t>201</w:t>
      </w:r>
      <w:r w:rsidR="008E33B1">
        <w:rPr>
          <w:rFonts w:asciiTheme="minorHAnsi" w:hAnsiTheme="minorHAnsi"/>
          <w:b w:val="0"/>
          <w:color w:val="FF0000"/>
          <w:sz w:val="22"/>
          <w:szCs w:val="22"/>
          <w:u w:color="000000"/>
          <w:lang w:val="el-GR"/>
        </w:rPr>
        <w:t>9</w:t>
      </w:r>
      <w:r w:rsidR="000364C5" w:rsidRPr="00E1315B">
        <w:rPr>
          <w:rFonts w:asciiTheme="minorHAnsi" w:hAnsiTheme="minorHAnsi"/>
          <w:b w:val="0"/>
          <w:color w:val="FF0000"/>
          <w:sz w:val="22"/>
          <w:szCs w:val="22"/>
          <w:u w:color="000000"/>
          <w:lang w:val="el-GR"/>
        </w:rPr>
        <w:t>. Για την ίδια περίοδο</w:t>
      </w:r>
      <w:r w:rsidR="00ED5590" w:rsidRPr="00E1315B">
        <w:rPr>
          <w:rFonts w:asciiTheme="minorHAnsi" w:hAnsiTheme="minorHAnsi"/>
          <w:b w:val="0"/>
          <w:color w:val="FF0000"/>
          <w:sz w:val="22"/>
          <w:szCs w:val="22"/>
          <w:u w:color="000000"/>
          <w:lang w:val="el-GR"/>
        </w:rPr>
        <w:t xml:space="preserve"> (</w:t>
      </w:r>
      <w:r w:rsidR="008E33B1">
        <w:rPr>
          <w:rFonts w:asciiTheme="minorHAnsi" w:hAnsiTheme="minorHAnsi"/>
          <w:b w:val="0"/>
          <w:color w:val="FF0000"/>
          <w:sz w:val="22"/>
          <w:szCs w:val="22"/>
          <w:u w:color="000000"/>
          <w:lang w:val="el-GR"/>
        </w:rPr>
        <w:t>πρώτο</w:t>
      </w:r>
      <w:r w:rsidR="00ED5590" w:rsidRPr="00E1315B">
        <w:rPr>
          <w:rFonts w:asciiTheme="minorHAnsi" w:hAnsiTheme="minorHAnsi"/>
          <w:b w:val="0"/>
          <w:color w:val="FF0000"/>
          <w:sz w:val="22"/>
          <w:szCs w:val="22"/>
          <w:u w:color="000000"/>
          <w:lang w:val="el-GR"/>
        </w:rPr>
        <w:t xml:space="preserve"> τρίμηνο 201</w:t>
      </w:r>
      <w:r w:rsidR="008E33B1">
        <w:rPr>
          <w:rFonts w:asciiTheme="minorHAnsi" w:hAnsiTheme="minorHAnsi"/>
          <w:b w:val="0"/>
          <w:color w:val="FF0000"/>
          <w:sz w:val="22"/>
          <w:szCs w:val="22"/>
          <w:u w:color="000000"/>
          <w:lang w:val="el-GR"/>
        </w:rPr>
        <w:t>9</w:t>
      </w:r>
      <w:r w:rsidR="00ED5590" w:rsidRPr="00E1315B">
        <w:rPr>
          <w:rFonts w:asciiTheme="minorHAnsi" w:hAnsiTheme="minorHAnsi"/>
          <w:b w:val="0"/>
          <w:color w:val="FF0000"/>
          <w:sz w:val="22"/>
          <w:szCs w:val="22"/>
          <w:u w:color="000000"/>
          <w:lang w:val="el-GR"/>
        </w:rPr>
        <w:t xml:space="preserve"> και 20</w:t>
      </w:r>
      <w:r w:rsidR="008E33B1">
        <w:rPr>
          <w:rFonts w:asciiTheme="minorHAnsi" w:hAnsiTheme="minorHAnsi"/>
          <w:b w:val="0"/>
          <w:color w:val="FF0000"/>
          <w:sz w:val="22"/>
          <w:szCs w:val="22"/>
          <w:u w:color="000000"/>
          <w:lang w:val="el-GR"/>
        </w:rPr>
        <w:t>20</w:t>
      </w:r>
      <w:r w:rsidR="00ED5590" w:rsidRPr="00E1315B">
        <w:rPr>
          <w:rFonts w:asciiTheme="minorHAnsi" w:hAnsiTheme="minorHAnsi"/>
          <w:b w:val="0"/>
          <w:color w:val="FF0000"/>
          <w:sz w:val="22"/>
          <w:szCs w:val="22"/>
          <w:u w:color="000000"/>
          <w:lang w:val="el-GR"/>
        </w:rPr>
        <w:t>)</w:t>
      </w:r>
      <w:r w:rsidR="000364C5" w:rsidRPr="00E1315B">
        <w:rPr>
          <w:rFonts w:asciiTheme="minorHAnsi" w:hAnsiTheme="minorHAnsi"/>
          <w:b w:val="0"/>
          <w:color w:val="FF0000"/>
          <w:sz w:val="22"/>
          <w:szCs w:val="22"/>
          <w:u w:color="000000"/>
          <w:lang w:val="el-GR"/>
        </w:rPr>
        <w:t xml:space="preserve">, το ποσοστό απασχόλησης των ατόμων 20-64 χρόνων στο σύνολο του πληθυσμού ηλικίας 20-64 αυξήθηκε στο </w:t>
      </w:r>
      <w:r w:rsidR="00605659" w:rsidRPr="00E1315B">
        <w:rPr>
          <w:rFonts w:asciiTheme="minorHAnsi" w:hAnsiTheme="minorHAnsi"/>
          <w:b w:val="0"/>
          <w:color w:val="FF0000"/>
          <w:sz w:val="22"/>
          <w:szCs w:val="22"/>
          <w:u w:color="000000"/>
          <w:lang w:val="el-GR"/>
        </w:rPr>
        <w:t>7</w:t>
      </w:r>
      <w:r w:rsidR="008E33B1">
        <w:rPr>
          <w:rFonts w:asciiTheme="minorHAnsi" w:hAnsiTheme="minorHAnsi"/>
          <w:b w:val="0"/>
          <w:color w:val="FF0000"/>
          <w:sz w:val="22"/>
          <w:szCs w:val="22"/>
          <w:u w:color="000000"/>
          <w:lang w:val="el-GR"/>
        </w:rPr>
        <w:t>5</w:t>
      </w:r>
      <w:r w:rsidR="00ED5590" w:rsidRPr="00E1315B">
        <w:rPr>
          <w:rFonts w:asciiTheme="minorHAnsi" w:hAnsiTheme="minorHAnsi"/>
          <w:b w:val="0"/>
          <w:color w:val="FF0000"/>
          <w:sz w:val="22"/>
          <w:szCs w:val="22"/>
          <w:u w:color="000000"/>
          <w:lang w:val="el-GR"/>
        </w:rPr>
        <w:t>,</w:t>
      </w:r>
      <w:r w:rsidR="008E33B1">
        <w:rPr>
          <w:rFonts w:asciiTheme="minorHAnsi" w:hAnsiTheme="minorHAnsi"/>
          <w:b w:val="0"/>
          <w:color w:val="FF0000"/>
          <w:sz w:val="22"/>
          <w:szCs w:val="22"/>
          <w:u w:color="000000"/>
          <w:lang w:val="el-GR"/>
        </w:rPr>
        <w:t>1</w:t>
      </w:r>
      <w:r w:rsidR="000364C5" w:rsidRPr="00E1315B">
        <w:rPr>
          <w:rFonts w:asciiTheme="minorHAnsi" w:hAnsiTheme="minorHAnsi"/>
          <w:b w:val="0"/>
          <w:color w:val="FF0000"/>
          <w:sz w:val="22"/>
          <w:szCs w:val="22"/>
          <w:u w:color="000000"/>
          <w:lang w:val="el-GR"/>
        </w:rPr>
        <w:t xml:space="preserve">% από </w:t>
      </w:r>
      <w:r w:rsidR="00605659" w:rsidRPr="00E1315B">
        <w:rPr>
          <w:rFonts w:asciiTheme="minorHAnsi" w:hAnsiTheme="minorHAnsi"/>
          <w:b w:val="0"/>
          <w:color w:val="FF0000"/>
          <w:sz w:val="22"/>
          <w:szCs w:val="22"/>
          <w:u w:color="000000"/>
          <w:lang w:val="el-GR"/>
        </w:rPr>
        <w:t>7</w:t>
      </w:r>
      <w:r w:rsidR="00ED5590" w:rsidRPr="00E1315B">
        <w:rPr>
          <w:rFonts w:asciiTheme="minorHAnsi" w:hAnsiTheme="minorHAnsi"/>
          <w:b w:val="0"/>
          <w:color w:val="FF0000"/>
          <w:sz w:val="22"/>
          <w:szCs w:val="22"/>
          <w:u w:color="000000"/>
          <w:lang w:val="el-GR"/>
        </w:rPr>
        <w:t>4,5</w:t>
      </w:r>
      <w:r w:rsidR="000364C5" w:rsidRPr="00E1315B">
        <w:rPr>
          <w:rFonts w:asciiTheme="minorHAnsi" w:hAnsiTheme="minorHAnsi"/>
          <w:b w:val="0"/>
          <w:color w:val="FF0000"/>
          <w:sz w:val="22"/>
          <w:szCs w:val="22"/>
          <w:u w:color="000000"/>
          <w:lang w:val="el-GR"/>
        </w:rPr>
        <w:t>%</w:t>
      </w:r>
      <w:r w:rsidR="001E6939" w:rsidRPr="00E1315B">
        <w:rPr>
          <w:rFonts w:asciiTheme="minorHAnsi" w:hAnsiTheme="minorHAnsi"/>
          <w:b w:val="0"/>
          <w:color w:val="FF0000"/>
          <w:sz w:val="22"/>
          <w:szCs w:val="22"/>
          <w:u w:color="000000"/>
          <w:lang w:val="el-GR"/>
        </w:rPr>
        <w:t xml:space="preserve"> που ήταν</w:t>
      </w:r>
      <w:r w:rsidR="000364C5" w:rsidRPr="00E1315B">
        <w:rPr>
          <w:rFonts w:asciiTheme="minorHAnsi" w:hAnsiTheme="minorHAnsi"/>
          <w:b w:val="0"/>
          <w:color w:val="FF0000"/>
          <w:sz w:val="22"/>
          <w:szCs w:val="22"/>
          <w:u w:color="000000"/>
          <w:lang w:val="el-GR"/>
        </w:rPr>
        <w:t xml:space="preserve"> το 201</w:t>
      </w:r>
      <w:r w:rsidR="00D60C9A">
        <w:rPr>
          <w:rFonts w:asciiTheme="minorHAnsi" w:hAnsiTheme="minorHAnsi"/>
          <w:b w:val="0"/>
          <w:color w:val="FF0000"/>
          <w:sz w:val="22"/>
          <w:szCs w:val="22"/>
          <w:u w:color="000000"/>
          <w:lang w:val="el-GR"/>
        </w:rPr>
        <w:t>9</w:t>
      </w:r>
      <w:r w:rsidR="000364C5" w:rsidRPr="00E1315B">
        <w:rPr>
          <w:rFonts w:asciiTheme="minorHAnsi" w:hAnsiTheme="minorHAnsi"/>
          <w:b w:val="0"/>
          <w:color w:val="FF0000"/>
          <w:sz w:val="22"/>
          <w:szCs w:val="22"/>
          <w:u w:color="000000"/>
          <w:lang w:val="el-GR"/>
        </w:rPr>
        <w:t>.</w:t>
      </w:r>
      <w:r w:rsidR="00B30504" w:rsidRPr="00E1315B">
        <w:rPr>
          <w:rFonts w:asciiTheme="minorHAnsi" w:hAnsiTheme="minorHAnsi"/>
          <w:b w:val="0"/>
          <w:color w:val="FF0000"/>
          <w:sz w:val="22"/>
          <w:szCs w:val="22"/>
          <w:u w:color="000000"/>
          <w:lang w:val="el-GR"/>
        </w:rPr>
        <w:t xml:space="preserve"> </w:t>
      </w:r>
      <w:r w:rsidR="00ED5590" w:rsidRPr="00E1315B">
        <w:rPr>
          <w:rFonts w:asciiTheme="minorHAnsi" w:hAnsiTheme="minorHAnsi"/>
          <w:b w:val="0"/>
          <w:color w:val="FF0000"/>
          <w:sz w:val="22"/>
          <w:szCs w:val="22"/>
          <w:lang w:val="el-GR"/>
        </w:rPr>
        <w:t xml:space="preserve">Το ποσοστό απασχόλησης το 2019 (μέσος όρος) διαμορφώθηκε στο 75,7% </w:t>
      </w:r>
      <w:r w:rsidR="00003714" w:rsidRPr="00E1315B">
        <w:rPr>
          <w:rFonts w:asciiTheme="minorHAnsi" w:hAnsiTheme="minorHAnsi"/>
          <w:b w:val="0"/>
          <w:color w:val="FF0000"/>
          <w:sz w:val="22"/>
          <w:szCs w:val="22"/>
          <w:lang w:val="el-GR"/>
        </w:rPr>
        <w:t xml:space="preserve">. </w:t>
      </w:r>
      <w:r w:rsidR="00CA4E74" w:rsidRPr="00E1315B">
        <w:rPr>
          <w:rFonts w:ascii="Calibri" w:hAnsi="Calibri"/>
          <w:b w:val="0"/>
          <w:bCs w:val="0"/>
          <w:color w:val="FF0000"/>
          <w:sz w:val="22"/>
          <w:szCs w:val="22"/>
          <w:lang w:val="el-GR"/>
        </w:rPr>
        <w:t xml:space="preserve">Σε σχέση με τα προηγούμενα χρόνια </w:t>
      </w:r>
      <w:r w:rsidR="00F8579E" w:rsidRPr="00E1315B">
        <w:rPr>
          <w:rFonts w:asciiTheme="minorHAnsi" w:hAnsiTheme="minorHAnsi"/>
          <w:b w:val="0"/>
          <w:color w:val="FF0000"/>
          <w:sz w:val="22"/>
          <w:szCs w:val="22"/>
          <w:u w:color="000000"/>
          <w:lang w:val="el-GR"/>
        </w:rPr>
        <w:t>το επίπεδο απασχόλησης</w:t>
      </w:r>
      <w:r w:rsidR="007B1033" w:rsidRPr="00E1315B">
        <w:rPr>
          <w:rFonts w:asciiTheme="minorHAnsi" w:hAnsiTheme="minorHAnsi"/>
          <w:b w:val="0"/>
          <w:color w:val="FF0000"/>
          <w:sz w:val="22"/>
          <w:szCs w:val="22"/>
          <w:u w:color="000000"/>
          <w:lang w:val="el-GR"/>
        </w:rPr>
        <w:t xml:space="preserve"> (20-64) το 2018 είχε φτάσει το 73,9%, το 2017 </w:t>
      </w:r>
      <w:r w:rsidR="00B30504" w:rsidRPr="00E1315B">
        <w:rPr>
          <w:rFonts w:asciiTheme="minorHAnsi" w:hAnsiTheme="minorHAnsi"/>
          <w:b w:val="0"/>
          <w:color w:val="FF0000"/>
          <w:sz w:val="22"/>
          <w:szCs w:val="22"/>
          <w:u w:color="000000"/>
          <w:lang w:val="el-GR"/>
        </w:rPr>
        <w:t xml:space="preserve">ήταν 70,8% και το 2016 ήταν </w:t>
      </w:r>
      <w:r w:rsidR="00F8579E" w:rsidRPr="00E1315B">
        <w:rPr>
          <w:rFonts w:asciiTheme="minorHAnsi" w:hAnsiTheme="minorHAnsi"/>
          <w:b w:val="0"/>
          <w:color w:val="FF0000"/>
          <w:sz w:val="22"/>
          <w:szCs w:val="22"/>
          <w:u w:color="000000"/>
          <w:lang w:val="el-GR"/>
        </w:rPr>
        <w:t xml:space="preserve"> 68,7%.</w:t>
      </w:r>
    </w:p>
    <w:p w:rsidR="00794AB0" w:rsidRPr="005046D0" w:rsidRDefault="00794AB0" w:rsidP="00C9079F">
      <w:pPr>
        <w:spacing w:after="240" w:line="276" w:lineRule="auto"/>
        <w:jc w:val="both"/>
        <w:rPr>
          <w:rFonts w:ascii="Calibri" w:hAnsi="Calibri"/>
          <w:b w:val="0"/>
          <w:bCs w:val="0"/>
          <w:color w:val="auto"/>
          <w:sz w:val="4"/>
          <w:szCs w:val="4"/>
          <w:lang w:val="el-GR"/>
        </w:rPr>
      </w:pPr>
    </w:p>
    <w:p w:rsidR="00D90A94" w:rsidRPr="005046D0" w:rsidRDefault="00107220" w:rsidP="00107220">
      <w:pPr>
        <w:pStyle w:val="ListParagraph"/>
        <w:shd w:val="clear" w:color="auto" w:fill="E5B8B7"/>
        <w:spacing w:line="276" w:lineRule="auto"/>
        <w:ind w:left="0"/>
        <w:jc w:val="both"/>
        <w:rPr>
          <w:rFonts w:ascii="Calibri" w:hAnsi="Calibri" w:cs="Calibri"/>
          <w:b w:val="0"/>
          <w:bCs w:val="0"/>
          <w:color w:val="auto"/>
          <w:lang w:val="el-GR"/>
        </w:rPr>
      </w:pPr>
      <w:r w:rsidRPr="005046D0">
        <w:rPr>
          <w:rFonts w:ascii="Calibri" w:hAnsi="Calibri" w:cs="Calibri"/>
          <w:color w:val="auto"/>
          <w:lang w:val="el-GR"/>
        </w:rPr>
        <w:t>Β.</w:t>
      </w:r>
      <w:r w:rsidRPr="005046D0">
        <w:rPr>
          <w:rFonts w:ascii="Calibri" w:hAnsi="Calibri" w:cs="Calibri"/>
          <w:color w:val="auto"/>
          <w:lang w:val="el-GR"/>
        </w:rPr>
        <w:tab/>
      </w:r>
      <w:r w:rsidRPr="005046D0">
        <w:rPr>
          <w:rFonts w:ascii="Calibri" w:hAnsi="Calibri" w:cs="Calibri"/>
          <w:caps/>
          <w:color w:val="auto"/>
          <w:lang w:val="el-GR"/>
        </w:rPr>
        <w:t>Ανάλυση</w:t>
      </w:r>
      <w:r w:rsidR="00D90A94" w:rsidRPr="005046D0">
        <w:rPr>
          <w:rFonts w:ascii="Calibri" w:hAnsi="Calibri" w:cs="Calibri"/>
          <w:caps/>
          <w:color w:val="auto"/>
          <w:lang w:val="el-GR"/>
        </w:rPr>
        <w:t xml:space="preserve"> στοιχεί</w:t>
      </w:r>
      <w:r w:rsidRPr="005046D0">
        <w:rPr>
          <w:rFonts w:ascii="Calibri" w:hAnsi="Calibri" w:cs="Calibri"/>
          <w:caps/>
          <w:color w:val="auto"/>
          <w:lang w:val="el-GR"/>
        </w:rPr>
        <w:t>ων</w:t>
      </w:r>
      <w:r w:rsidR="00D90A94" w:rsidRPr="005046D0">
        <w:rPr>
          <w:rFonts w:ascii="Calibri" w:hAnsi="Calibri" w:cs="Calibri"/>
          <w:caps/>
          <w:color w:val="auto"/>
          <w:lang w:val="el-GR"/>
        </w:rPr>
        <w:t xml:space="preserve"> Εγγεγραμμένης Ανεργίας</w:t>
      </w:r>
    </w:p>
    <w:p w:rsidR="00D90A94" w:rsidRPr="005046D0" w:rsidRDefault="00D90A94" w:rsidP="00107220">
      <w:pPr>
        <w:pStyle w:val="ListParagraph"/>
        <w:spacing w:line="276" w:lineRule="auto"/>
        <w:ind w:left="0"/>
        <w:jc w:val="both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160E6D" w:rsidRPr="005D19B0" w:rsidRDefault="00BD475B" w:rsidP="005D19B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</w:pPr>
      <w:r w:rsidRPr="005D19B0">
        <w:rPr>
          <w:rFonts w:ascii="Calibri" w:eastAsia="Calibri" w:hAnsi="Calibri" w:cs="Arial"/>
          <w:i/>
          <w:iCs/>
          <w:color w:val="auto"/>
          <w:lang w:val="el-GR"/>
        </w:rPr>
        <w:t xml:space="preserve">Σύγκριση μεταξύ </w:t>
      </w:r>
      <w:r w:rsidR="00A1599F" w:rsidRPr="005D19B0">
        <w:rPr>
          <w:rFonts w:ascii="Calibri" w:eastAsia="Calibri" w:hAnsi="Calibri" w:cs="Arial"/>
          <w:i/>
          <w:iCs/>
          <w:color w:val="auto"/>
          <w:lang w:val="el-GR"/>
        </w:rPr>
        <w:t>Απριλίου</w:t>
      </w:r>
      <w:r w:rsidRPr="005D19B0">
        <w:rPr>
          <w:rFonts w:ascii="Calibri" w:eastAsia="Calibri" w:hAnsi="Calibri" w:cs="Arial"/>
          <w:i/>
          <w:iCs/>
          <w:color w:val="auto"/>
          <w:lang w:val="el-GR"/>
        </w:rPr>
        <w:t xml:space="preserve"> 2019 και 2020 </w:t>
      </w:r>
      <w:r w:rsidRPr="005D19B0"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  <w:t xml:space="preserve"> (</w:t>
      </w:r>
      <w:r w:rsidRPr="005D19B0">
        <w:rPr>
          <w:rFonts w:ascii="Calibri" w:eastAsia="Calibri" w:hAnsi="Calibri" w:cs="Arial"/>
          <w:i/>
          <w:iCs/>
          <w:color w:val="auto"/>
          <w:sz w:val="22"/>
          <w:szCs w:val="22"/>
          <w:u w:val="single"/>
          <w:lang w:val="el-GR"/>
        </w:rPr>
        <w:t>ετήσια σύγκριση</w:t>
      </w:r>
      <w:r w:rsidRPr="005D19B0"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  <w:t>):</w:t>
      </w:r>
    </w:p>
    <w:p w:rsidR="00160E6D" w:rsidRPr="00160E6D" w:rsidRDefault="00160E6D" w:rsidP="00160E6D">
      <w:pPr>
        <w:spacing w:line="276" w:lineRule="auto"/>
        <w:ind w:left="360"/>
        <w:jc w:val="both"/>
        <w:rPr>
          <w:rFonts w:ascii="Calibri" w:eastAsia="Calibri" w:hAnsi="Calibri" w:cs="Arial"/>
          <w:i/>
          <w:iCs/>
          <w:color w:val="auto"/>
          <w:sz w:val="16"/>
          <w:szCs w:val="16"/>
          <w:lang w:val="el-GR"/>
        </w:rPr>
      </w:pPr>
    </w:p>
    <w:p w:rsidR="005D19B0" w:rsidRPr="005D19B0" w:rsidRDefault="005D19B0" w:rsidP="005D19B0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</w:pPr>
      <w:r w:rsidRPr="005D19B0">
        <w:rPr>
          <w:rFonts w:ascii="Calibri" w:eastAsia="Calibri" w:hAnsi="Calibri" w:cs="Arial"/>
          <w:color w:val="auto"/>
          <w:sz w:val="22"/>
          <w:szCs w:val="22"/>
          <w:lang w:val="el-GR"/>
        </w:rPr>
        <w:t xml:space="preserve">Αύξηση του αριθμού </w:t>
      </w:r>
      <w:r w:rsidRPr="005D19B0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των εγγεγραμμένων ανέργων σε 28.591 άτομα από 20.315 τον αντίστοιχο μήνα του 2019 (αύξηση κατά 40,7% ή 8.276 άτομα). </w:t>
      </w:r>
    </w:p>
    <w:p w:rsidR="005D19B0" w:rsidRPr="005D19B0" w:rsidRDefault="005D19B0" w:rsidP="005D19B0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5D19B0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lastRenderedPageBreak/>
        <w:t xml:space="preserve">Κατά </w:t>
      </w:r>
      <w:r w:rsidRPr="005D19B0">
        <w:rPr>
          <w:rFonts w:ascii="Calibri" w:eastAsia="Calibri" w:hAnsi="Calibri" w:cs="Arial"/>
          <w:color w:val="auto"/>
          <w:sz w:val="22"/>
          <w:szCs w:val="22"/>
          <w:lang w:val="el-GR"/>
        </w:rPr>
        <w:t>φύλ</w:t>
      </w:r>
      <w:r w:rsidRPr="005D19B0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ο, ο αριθμός των άνεργων αντρών ανήλθε στα 12.774 άτομα, ενώ ο αριθμός των ανέργων γυναικών ανήλθε στα 15.817 άτομα. Σε σχέση με τον ίδιο μήνα πέρσι, ο αριθμός των ανέργων αντρών αυξήθηκε κατά 3.331 άτομα ή 35% ενώ των γυναικών αυξήθηκε κατά 4.945 άτομα ή 45%. </w:t>
      </w:r>
      <w:r w:rsidRPr="005D19B0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εγγεγραμμένων ανέργων (σύνολο και κατά φύλο) τους τελευταίους 12 μήνες</w:t>
      </w:r>
      <w:r w:rsidRPr="005D19B0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>.</w:t>
      </w:r>
    </w:p>
    <w:p w:rsidR="005D19B0" w:rsidRPr="005D19B0" w:rsidRDefault="005D19B0" w:rsidP="005D19B0">
      <w:pPr>
        <w:spacing w:after="200" w:line="276" w:lineRule="auto"/>
        <w:ind w:left="90"/>
        <w:jc w:val="both"/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</w:pPr>
      <w:r>
        <w:rPr>
          <w:rFonts w:eastAsia="Calibri"/>
          <w:noProof/>
        </w:rPr>
        <w:drawing>
          <wp:inline distT="0" distB="0" distL="0" distR="0">
            <wp:extent cx="5551170" cy="3105785"/>
            <wp:effectExtent l="0" t="0" r="11430" b="18415"/>
            <wp:docPr id="8" name="Chart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D19B0" w:rsidRPr="005D19B0" w:rsidRDefault="005D19B0" w:rsidP="005D19B0">
      <w:pPr>
        <w:numPr>
          <w:ilvl w:val="0"/>
          <w:numId w:val="1"/>
        </w:numPr>
        <w:spacing w:after="200" w:line="276" w:lineRule="auto"/>
        <w:ind w:left="567" w:hanging="283"/>
        <w:jc w:val="both"/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</w:pPr>
      <w:r w:rsidRPr="005D19B0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Η μεγαλύτερη αριθμητική αύξηση</w:t>
      </w:r>
      <w:r w:rsidRPr="005D19B0">
        <w:rPr>
          <w:rFonts w:ascii="Calibri" w:eastAsia="Calibri" w:hAnsi="Calibri" w:cs="Arial"/>
          <w:b w:val="0"/>
          <w:bCs w:val="0"/>
          <w:i/>
          <w:color w:val="auto"/>
          <w:sz w:val="22"/>
          <w:szCs w:val="22"/>
          <w:lang w:val="el-GR"/>
        </w:rPr>
        <w:t xml:space="preserve"> </w:t>
      </w:r>
      <w:r w:rsidRPr="005D19B0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παρου</w:t>
      </w:r>
      <w:r w:rsidRPr="005D19B0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softHyphen/>
        <w:t xml:space="preserve">σιάστηκε στην </w:t>
      </w:r>
      <w:r w:rsidRPr="005D19B0">
        <w:rPr>
          <w:rFonts w:ascii="Calibri" w:eastAsia="Calibri" w:hAnsi="Calibri" w:cs="Arial"/>
          <w:color w:val="auto"/>
          <w:sz w:val="22"/>
          <w:szCs w:val="22"/>
          <w:lang w:val="el-GR"/>
        </w:rPr>
        <w:t>επαρχία</w:t>
      </w:r>
      <w:r w:rsidRPr="005D19B0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Αμμοχώστου (κατά 4.350 άτομα), ακολουθούμενη από την επαρχία Πάφου (κατά 1.728 άτομα), Λάρνακας (κατά 1.323 άτομα), Λεμεσού (κατά 742 άτομα) και Λευκωσίας (κατά 133 άτομα). </w:t>
      </w:r>
      <w:r w:rsidRPr="005D19B0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κατά επαρχία τους τελευταίους 12 μήνες. Σημειώνεται ότι η Επαρχία Λευκωσίας συγκεντρώνει το μεγαλύτερο αριθμό ανέργων από όλες τις Επαρχίες (7.143 άτομα) και ακολουθεί η Επαρχία Αμμοχώστου (6.380 άτομα).</w:t>
      </w:r>
    </w:p>
    <w:p w:rsidR="005D19B0" w:rsidRPr="005D19B0" w:rsidRDefault="005D19B0" w:rsidP="005D19B0">
      <w:pPr>
        <w:spacing w:after="200" w:line="276" w:lineRule="auto"/>
        <w:jc w:val="both"/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lastRenderedPageBreak/>
        <w:drawing>
          <wp:inline distT="0" distB="0" distL="0" distR="0">
            <wp:extent cx="5577205" cy="3070860"/>
            <wp:effectExtent l="0" t="0" r="23495" b="15240"/>
            <wp:docPr id="7" name="Char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D19B0" w:rsidRPr="005D19B0" w:rsidRDefault="005D19B0" w:rsidP="005D19B0">
      <w:pPr>
        <w:numPr>
          <w:ilvl w:val="0"/>
          <w:numId w:val="1"/>
        </w:numPr>
        <w:spacing w:after="200" w:line="276" w:lineRule="auto"/>
        <w:ind w:left="360"/>
        <w:jc w:val="both"/>
        <w:rPr>
          <w:rFonts w:ascii="Calibri" w:eastAsia="Calibri" w:hAnsi="Calibri" w:cs="Arial"/>
          <w:color w:val="auto"/>
          <w:sz w:val="22"/>
          <w:szCs w:val="22"/>
          <w:lang w:val="el-GR"/>
        </w:rPr>
      </w:pPr>
      <w:r w:rsidRPr="005D19B0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Οι μεγαλύτερες αριθμητικές αυξήσεις κατά </w:t>
      </w:r>
      <w:r w:rsidRPr="005D19B0">
        <w:rPr>
          <w:rFonts w:ascii="Calibri" w:eastAsia="Calibri" w:hAnsi="Calibri" w:cs="Arial"/>
          <w:color w:val="auto"/>
          <w:spacing w:val="2"/>
          <w:sz w:val="22"/>
          <w:szCs w:val="22"/>
          <w:lang w:val="el-GR"/>
        </w:rPr>
        <w:t>τομέα οικονομικής δραστηριό</w:t>
      </w:r>
      <w:r w:rsidRPr="005D19B0">
        <w:rPr>
          <w:rFonts w:ascii="Calibri" w:eastAsia="Calibri" w:hAnsi="Calibri" w:cs="Arial"/>
          <w:color w:val="auto"/>
          <w:spacing w:val="2"/>
          <w:sz w:val="22"/>
          <w:szCs w:val="22"/>
          <w:lang w:val="el-GR"/>
        </w:rPr>
        <w:softHyphen/>
        <w:t>τητα</w:t>
      </w:r>
      <w:r w:rsidRPr="005D19B0">
        <w:rPr>
          <w:rFonts w:ascii="Calibri" w:eastAsia="Calibri" w:hAnsi="Calibri" w:cs="Arial"/>
          <w:bCs w:val="0"/>
          <w:color w:val="auto"/>
          <w:spacing w:val="2"/>
          <w:sz w:val="22"/>
          <w:szCs w:val="22"/>
          <w:lang w:val="el-GR"/>
        </w:rPr>
        <w:t>ς</w:t>
      </w:r>
      <w:r w:rsidRPr="005D19B0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σε σύγκριση με τον ίδιο μήνα του 2019 παρουσιάστηκαν στον τομέα των Ξενοδοχείων (κατά 5.785 άτομα), στο τομέα των Άλλων Υπηρεσιών (κατά 1.270 άτομα), στον τομέα του εμπορίου (κατά 928 άτομα) </w:t>
      </w:r>
      <w:r w:rsidRPr="005D19B0">
        <w:rPr>
          <w:rFonts w:ascii="Calibri" w:hAnsi="Calibri" w:cs="Arial"/>
          <w:color w:val="auto"/>
          <w:sz w:val="22"/>
          <w:szCs w:val="22"/>
          <w:lang w:val="el-GR"/>
        </w:rPr>
        <w:t xml:space="preserve"> </w:t>
      </w:r>
      <w:r w:rsidRPr="005D19B0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και στις μεταφορές (κατά 407 άτομα). Η μεγαλύτερη μείωση παρουσιάστηκε στον τομέα νεοεισερχομένων (κατά 415 άτομα).  </w:t>
      </w:r>
      <w:r w:rsidRPr="005D19B0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σε επιλεγμένους τομείς οικονομικής δραστηριότητας τους τελευταίους 12 μήνες. Η μεγαλύτερη συγκέντρωση ανέργων έχει καταγραφεί στον τομέα των Ξενοδοχείων (9.457 άτομα ή 33% του συνόλου) και του εμπορίου (4.898 άτομα ή 17% του συνόλου).</w:t>
      </w:r>
    </w:p>
    <w:p w:rsidR="005D19B0" w:rsidRPr="005D19B0" w:rsidRDefault="005D19B0" w:rsidP="005D19B0">
      <w:pPr>
        <w:spacing w:after="200" w:line="276" w:lineRule="auto"/>
        <w:jc w:val="both"/>
        <w:rPr>
          <w:rFonts w:ascii="Calibri" w:eastAsia="Calibri" w:hAnsi="Calibri" w:cs="Arial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drawing>
          <wp:inline distT="0" distB="0" distL="0" distR="0">
            <wp:extent cx="5451894" cy="2898475"/>
            <wp:effectExtent l="0" t="0" r="15875" b="16510"/>
            <wp:docPr id="6" name="Char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D19B0" w:rsidRPr="005D19B0" w:rsidRDefault="005D19B0" w:rsidP="005D19B0">
      <w:pPr>
        <w:numPr>
          <w:ilvl w:val="0"/>
          <w:numId w:val="1"/>
        </w:numPr>
        <w:spacing w:after="200" w:line="276" w:lineRule="auto"/>
        <w:ind w:left="360"/>
        <w:jc w:val="both"/>
        <w:rPr>
          <w:rFonts w:ascii="Calibri" w:eastAsia="Calibri" w:hAnsi="Calibri" w:cs="Arial"/>
          <w:color w:val="auto"/>
          <w:sz w:val="22"/>
          <w:szCs w:val="22"/>
          <w:lang w:val="el-GR"/>
        </w:rPr>
      </w:pPr>
      <w:r w:rsidRPr="005D19B0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Οι μεγαλύτερες αριθμητικές αυξήσεις κατά </w:t>
      </w:r>
      <w:r w:rsidRPr="005D19B0">
        <w:rPr>
          <w:rFonts w:ascii="Calibri" w:eastAsia="Calibri" w:hAnsi="Calibri" w:cs="Arial"/>
          <w:color w:val="auto"/>
          <w:spacing w:val="2"/>
          <w:sz w:val="22"/>
          <w:szCs w:val="22"/>
          <w:lang w:val="el-GR"/>
        </w:rPr>
        <w:t>επαγγελματική κατηγορία</w:t>
      </w:r>
      <w:r w:rsidRPr="005D19B0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σε σύγκριση με τον ίδιο μήνα του 2019 παρουσιάστηκαν</w:t>
      </w:r>
      <w:r w:rsidRPr="005D19B0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ανάμεσα στον τομέα των υπηρεσιών και πωλητών (κατά 4.065 άτομα) και ανάμεσα στους ανειδίκευτους </w:t>
      </w:r>
      <w:r w:rsidRPr="005D19B0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lastRenderedPageBreak/>
        <w:t>εργάτες, χειρωνάκτες και μικροεπαγγελματίες (κατά 2.452 άτομα)</w:t>
      </w:r>
      <w:r w:rsidRPr="005D19B0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. </w:t>
      </w:r>
      <w:r w:rsidRPr="005D19B0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κατά επαγγελματική κατηγορία τους τελευταίους 12 μήνες. Η μεγαλύτερη συγκέντρωση ανέργων έχει καταγραφεί στην επαγγελματική κατηγορία των απασχολουμένων στην παροχή υπηρεσιών και πωλητές (9.159 άτομα ή 32% του συνόλου) και των ανειδίκευτων εργατών (6.433 άτομα ή 22,5% του συνόλου).</w:t>
      </w:r>
    </w:p>
    <w:p w:rsidR="005D19B0" w:rsidRPr="005D19B0" w:rsidRDefault="005D19B0" w:rsidP="005D19B0">
      <w:pPr>
        <w:spacing w:after="200" w:line="276" w:lineRule="auto"/>
        <w:jc w:val="both"/>
        <w:rPr>
          <w:rFonts w:ascii="Calibri" w:eastAsia="Calibri" w:hAnsi="Calibri" w:cs="Arial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drawing>
          <wp:inline distT="0" distB="0" distL="0" distR="0">
            <wp:extent cx="5426015" cy="3372928"/>
            <wp:effectExtent l="0" t="0" r="22860" b="18415"/>
            <wp:docPr id="5" name="Char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D19B0" w:rsidRPr="005D19B0" w:rsidRDefault="005D19B0" w:rsidP="005D19B0">
      <w:pPr>
        <w:numPr>
          <w:ilvl w:val="0"/>
          <w:numId w:val="1"/>
        </w:numPr>
        <w:spacing w:after="200" w:line="276" w:lineRule="auto"/>
        <w:ind w:left="360"/>
        <w:jc w:val="both"/>
        <w:rPr>
          <w:rFonts w:ascii="Calibri" w:eastAsia="Calibri" w:hAnsi="Calibri" w:cs="Calibri"/>
          <w:b w:val="0"/>
          <w:color w:val="auto"/>
          <w:sz w:val="22"/>
          <w:szCs w:val="22"/>
          <w:lang w:val="el-GR"/>
        </w:rPr>
      </w:pPr>
      <w:r w:rsidRPr="005D19B0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Οι μεγαλύτερες αυξήσεις παρουσιάστηκαν στις </w:t>
      </w:r>
      <w:r w:rsidRPr="005D19B0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ηλικιακές ομάδες</w:t>
      </w:r>
      <w:r w:rsidRPr="005D19B0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30-39 ετών (κατά 2.336 άτομα) και 40-49 ετών (κατά 2.164 άτομα)</w:t>
      </w:r>
      <w:r w:rsidRPr="005D19B0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. Στο διάγραμμα που ακολουθεί παρουσιάζεται η διακύμανση του αριθμού των ανέργων κατά ηλικιακή ομάδα τους τελευταίους 12 μήνες.</w:t>
      </w:r>
      <w:r w:rsidRPr="005D19B0">
        <w:rPr>
          <w:rFonts w:eastAsia="Calibri"/>
          <w:noProof/>
          <w:color w:val="auto"/>
          <w:lang w:val="el-GR"/>
        </w:rPr>
        <w:t xml:space="preserve"> </w:t>
      </w:r>
      <w:r w:rsidRPr="005D19B0">
        <w:rPr>
          <w:rFonts w:ascii="Calibri" w:eastAsia="Calibri" w:hAnsi="Calibri" w:cs="Calibri"/>
          <w:b w:val="0"/>
          <w:noProof/>
          <w:color w:val="auto"/>
          <w:sz w:val="22"/>
          <w:szCs w:val="22"/>
          <w:lang w:val="el-GR"/>
        </w:rPr>
        <w:t>Η μεγαλύτερη συγκέντρωση ανέργων καταγράφηκε στην ηλικιακή ομάδα 30-39 ετών (7.653 άτομα ή 27% του συνόλου) και 40-49 ετών (6.252 άτομα ή 22%).</w:t>
      </w:r>
    </w:p>
    <w:p w:rsidR="005D19B0" w:rsidRPr="005D19B0" w:rsidRDefault="005D19B0" w:rsidP="005D19B0">
      <w:pPr>
        <w:spacing w:after="200" w:line="276" w:lineRule="auto"/>
        <w:jc w:val="both"/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lastRenderedPageBreak/>
        <w:drawing>
          <wp:inline distT="0" distB="0" distL="0" distR="0">
            <wp:extent cx="5382883" cy="3010619"/>
            <wp:effectExtent l="0" t="0" r="27940" b="18415"/>
            <wp:docPr id="4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D19B0" w:rsidRPr="005D19B0" w:rsidRDefault="005D19B0" w:rsidP="005D19B0">
      <w:pPr>
        <w:numPr>
          <w:ilvl w:val="0"/>
          <w:numId w:val="1"/>
        </w:numPr>
        <w:spacing w:after="200" w:line="276" w:lineRule="auto"/>
        <w:ind w:left="426"/>
        <w:jc w:val="both"/>
        <w:rPr>
          <w:rFonts w:eastAsia="Calibri"/>
          <w:b w:val="0"/>
          <w:color w:val="auto"/>
          <w:lang w:val="el-GR"/>
        </w:rPr>
      </w:pPr>
      <w:r w:rsidRPr="005D19B0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Ο αριθμός των ανέργων που ήταν εγγεγραμμένοι στα γραφεία της ΔΥΑ για περισσότερο από 6 μήνες έφτασε στα 9.204 άτομα (αύξηση κατά 547 άτομα σε σχέση με τον ίδιο μήνα πέρσι) και αντιπροσωπεύει το 32% του συνόλου των εγγεγραμμένων ανέργων. </w:t>
      </w:r>
      <w:r w:rsidRPr="005D19B0">
        <w:rPr>
          <w:rFonts w:ascii="Calibri" w:eastAsia="Calibri" w:hAnsi="Calibri" w:cs="Arial"/>
          <w:b w:val="0"/>
          <w:color w:val="auto"/>
          <w:sz w:val="22"/>
          <w:szCs w:val="22"/>
        </w:rPr>
        <w:t>O</w:t>
      </w:r>
      <w:r w:rsidRPr="005D19B0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αριθμός των ανέργων που ήταν εγγεγραμμένοι στα γραφεία της ΔΥΑ για </w:t>
      </w:r>
      <w:r w:rsidRPr="005D19B0">
        <w:rPr>
          <w:rFonts w:ascii="Calibri" w:eastAsia="Calibri" w:hAnsi="Calibri" w:cs="Arial"/>
          <w:color w:val="auto"/>
          <w:sz w:val="22"/>
          <w:szCs w:val="22"/>
          <w:lang w:val="el-GR"/>
        </w:rPr>
        <w:t>περισσότερο από 12 μήνες</w:t>
      </w:r>
      <w:r w:rsidRPr="005D19B0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έφτασε τα 3.615 άτομα (μείωση κατά 1.181 άτομα σε σχέση με τον ίδιο μήνα πέρσι) και αντιπροσωπεύει το 13% του συνόλου των εγγεγραμμένων ανέργων. Αύξηση παρουσιάστηκε στους ανέργους με διάρκεια ανεργίας από 3 μήνες μέχρι 6 μήνες (κατά 5.862 άτομα) οι αντιπροσώπευαν το 41% του συνόλου των εγγεγραμμένων ανέργων.  Στο διάγραμμα που ακολουθεί παρουσιάζεται η διακύμανση του αριθμού των ανέργων κατά διάρκεια εγγραφής τους τελευταίους 12 μήνες. Επισημαίνεται ότι οι περισσότεροι άνεργοι είχαν διάρκεια ανεργίας από </w:t>
      </w:r>
      <w:r w:rsidRPr="005D19B0">
        <w:rPr>
          <w:rFonts w:ascii="Calibri" w:eastAsia="Calibri" w:hAnsi="Calibri" w:cs="Arial"/>
          <w:color w:val="auto"/>
          <w:sz w:val="22"/>
          <w:szCs w:val="22"/>
          <w:lang w:val="el-GR"/>
        </w:rPr>
        <w:t>3 μέχρι 6 μήνες</w:t>
      </w:r>
      <w:r w:rsidRPr="005D19B0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(11.730 άτομα ή 41%).</w:t>
      </w:r>
    </w:p>
    <w:p w:rsidR="005D19B0" w:rsidRPr="005D19B0" w:rsidRDefault="005D19B0" w:rsidP="005D19B0">
      <w:pPr>
        <w:spacing w:line="276" w:lineRule="auto"/>
        <w:ind w:left="426"/>
        <w:jc w:val="both"/>
        <w:rPr>
          <w:rFonts w:eastAsia="Calibri"/>
          <w:b w:val="0"/>
          <w:color w:val="auto"/>
          <w:lang w:val="el-GR"/>
        </w:rPr>
      </w:pPr>
    </w:p>
    <w:p w:rsidR="005D19B0" w:rsidRPr="005D19B0" w:rsidRDefault="005D19B0" w:rsidP="005D19B0">
      <w:pPr>
        <w:spacing w:line="276" w:lineRule="auto"/>
        <w:jc w:val="both"/>
        <w:rPr>
          <w:rFonts w:eastAsia="Calibri"/>
          <w:b w:val="0"/>
          <w:color w:val="auto"/>
          <w:lang w:val="el-GR"/>
        </w:rPr>
      </w:pPr>
      <w:r>
        <w:rPr>
          <w:rFonts w:eastAsia="Calibri"/>
          <w:noProof/>
        </w:rPr>
        <w:lastRenderedPageBreak/>
        <w:drawing>
          <wp:inline distT="0" distB="0" distL="0" distR="0" wp14:anchorId="4AEBAD96" wp14:editId="4E6F3C51">
            <wp:extent cx="5555411" cy="3579962"/>
            <wp:effectExtent l="0" t="0" r="26670" b="20955"/>
            <wp:docPr id="3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D19B0" w:rsidRPr="005D19B0" w:rsidRDefault="005D19B0" w:rsidP="005D19B0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5D19B0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Οι </w:t>
      </w:r>
      <w:r w:rsidRPr="005D19B0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 xml:space="preserve">Ελληνοκύπριοι </w:t>
      </w:r>
      <w:r w:rsidRPr="005D19B0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αποτελούν την </w:t>
      </w:r>
      <w:r w:rsidRPr="005D19B0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 xml:space="preserve">πλειοψηφία </w:t>
      </w:r>
      <w:r w:rsidRPr="005D19B0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του συνόλου των ανέργων με 17.832 άτομα (62%). Ο αντίστοιχος αριθμός τον ίδιο μήνα πέρσι ήταν 14.429  άτομα (71%). Από το σύνολο των ανέργων οι 7.404 (26%) ήταν </w:t>
      </w:r>
      <w:r w:rsidRPr="005D19B0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Ευρωπαίοι πολίτες</w:t>
      </w:r>
      <w:r w:rsidRPr="005D19B0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. Ο αντίστοιχος αριθμός τον ίδιο μήνα πέρσι ήταν 3.279  (16% του συνόλου των ανέργων). Σημειώνεται ότι η μεγαλύτερη αριθμητική αύξηση σε σύγκριση με τον ίδιο μήνα πέρσι σημειώθηκε ανάμεσα στους Ευρωπαίους Πολίτες  κατά 4.125 άτομα ή 126%.</w:t>
      </w:r>
    </w:p>
    <w:p w:rsidR="005D19B0" w:rsidRPr="005D19B0" w:rsidRDefault="005D19B0" w:rsidP="005D19B0">
      <w:p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drawing>
          <wp:inline distT="0" distB="0" distL="0" distR="0">
            <wp:extent cx="5482590" cy="2811780"/>
            <wp:effectExtent l="0" t="0" r="22860" b="26670"/>
            <wp:docPr id="2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D19B0" w:rsidRPr="005D19B0" w:rsidRDefault="005D19B0" w:rsidP="005D19B0">
      <w:pPr>
        <w:spacing w:line="276" w:lineRule="auto"/>
        <w:ind w:left="720"/>
        <w:jc w:val="both"/>
        <w:rPr>
          <w:rFonts w:ascii="Calibri" w:hAnsi="Calibri" w:cs="Arial"/>
          <w:color w:val="auto"/>
          <w:sz w:val="16"/>
          <w:szCs w:val="16"/>
          <w:lang w:val="el-GR"/>
        </w:rPr>
      </w:pPr>
    </w:p>
    <w:p w:rsidR="005D19B0" w:rsidRPr="005D19B0" w:rsidRDefault="005D19B0" w:rsidP="005D19B0">
      <w:pPr>
        <w:numPr>
          <w:ilvl w:val="0"/>
          <w:numId w:val="1"/>
        </w:numPr>
        <w:spacing w:after="200" w:line="276" w:lineRule="auto"/>
        <w:jc w:val="both"/>
        <w:rPr>
          <w:rFonts w:ascii="Calibri" w:hAnsi="Calibri" w:cs="Arial"/>
          <w:color w:val="auto"/>
          <w:sz w:val="20"/>
          <w:szCs w:val="20"/>
          <w:lang w:val="el-GR"/>
        </w:rPr>
      </w:pPr>
      <w:r w:rsidRPr="005D19B0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Από τους εγγεγραμμένους άνεργους, 13.630</w:t>
      </w:r>
      <w:r w:rsidRPr="005D19B0">
        <w:rPr>
          <w:rFonts w:ascii="Calibri" w:hAnsi="Calibri" w:cs="Arial"/>
          <w:color w:val="auto"/>
          <w:sz w:val="20"/>
          <w:szCs w:val="20"/>
          <w:lang w:val="el-GR"/>
        </w:rPr>
        <w:t xml:space="preserve"> </w:t>
      </w:r>
      <w:r w:rsidRPr="005D19B0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άτομα (48%) είναι </w:t>
      </w:r>
      <w:r w:rsidRPr="005D19B0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απόφοιτοι δευτεροβάθμιας γενικής ή τεχνικής</w:t>
      </w:r>
      <w:r w:rsidRPr="005D19B0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5D19B0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εκπαίδευσης,</w:t>
      </w:r>
      <w:r w:rsidRPr="005D19B0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ακολουθούν οι απόφοιτοι πρωτοβάθμιας εκπαίδευσης 7.505 άτομα  (26%), οι απόφοιτοι με τριτοβάθμια εκπαίδευση 7.456 άτομα  (26%), και τέλος 175 άτομα (0,6%)  χωρίς μόρφωση. </w:t>
      </w:r>
      <w:r w:rsidRPr="005D19B0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lastRenderedPageBreak/>
        <w:t>Στο διάγραμμα που ακολουθεί παρουσιάζεται η διακύμανση του αριθμού των ανέργων κατά μορφωτικό επίπεδο τους τελευταίους 12 μήνες.</w:t>
      </w:r>
    </w:p>
    <w:p w:rsidR="005D19B0" w:rsidRPr="005D19B0" w:rsidRDefault="005D19B0" w:rsidP="005D19B0">
      <w:pPr>
        <w:spacing w:line="276" w:lineRule="auto"/>
        <w:ind w:left="720"/>
        <w:jc w:val="both"/>
        <w:rPr>
          <w:rFonts w:ascii="Calibri" w:hAnsi="Calibri" w:cs="Arial"/>
          <w:color w:val="auto"/>
          <w:sz w:val="20"/>
          <w:szCs w:val="20"/>
          <w:lang w:val="el-GR"/>
        </w:rPr>
      </w:pPr>
    </w:p>
    <w:p w:rsidR="005D19B0" w:rsidRPr="005D19B0" w:rsidRDefault="005D19B0" w:rsidP="005D19B0">
      <w:pPr>
        <w:spacing w:line="276" w:lineRule="auto"/>
        <w:jc w:val="both"/>
        <w:rPr>
          <w:rFonts w:ascii="Calibri" w:hAnsi="Calibri" w:cs="Arial"/>
          <w:color w:val="auto"/>
          <w:sz w:val="20"/>
          <w:szCs w:val="20"/>
          <w:lang w:val="el-GR"/>
        </w:rPr>
      </w:pPr>
      <w:r>
        <w:rPr>
          <w:b w:val="0"/>
          <w:bCs w:val="0"/>
          <w:noProof/>
          <w:color w:val="auto"/>
        </w:rPr>
        <w:drawing>
          <wp:inline distT="0" distB="0" distL="0" distR="0">
            <wp:extent cx="5482590" cy="3190240"/>
            <wp:effectExtent l="0" t="0" r="22860" b="10160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D19B0" w:rsidRPr="005D19B0" w:rsidRDefault="005D19B0" w:rsidP="005D19B0">
      <w:pPr>
        <w:tabs>
          <w:tab w:val="left" w:pos="3400"/>
        </w:tabs>
        <w:spacing w:after="200" w:line="276" w:lineRule="auto"/>
        <w:ind w:left="567"/>
        <w:rPr>
          <w:rFonts w:ascii="Calibri" w:eastAsia="Calibri" w:hAnsi="Calibri" w:cs="Arial"/>
          <w:i/>
          <w:iCs/>
          <w:color w:val="auto"/>
          <w:sz w:val="22"/>
          <w:szCs w:val="22"/>
        </w:rPr>
      </w:pPr>
    </w:p>
    <w:p w:rsidR="005D19B0" w:rsidRPr="005D19B0" w:rsidRDefault="005D19B0" w:rsidP="005D19B0">
      <w:pPr>
        <w:tabs>
          <w:tab w:val="left" w:pos="3400"/>
        </w:tabs>
        <w:spacing w:after="200" w:line="276" w:lineRule="auto"/>
        <w:ind w:left="360"/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</w:pPr>
    </w:p>
    <w:p w:rsidR="005D19B0" w:rsidRPr="005D19B0" w:rsidRDefault="005D19B0" w:rsidP="005D19B0">
      <w:pPr>
        <w:tabs>
          <w:tab w:val="left" w:pos="3400"/>
        </w:tabs>
        <w:spacing w:after="200" w:line="276" w:lineRule="auto"/>
        <w:ind w:left="360"/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</w:pPr>
      <w:r w:rsidRPr="005D19B0"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  <w:br w:type="page"/>
      </w:r>
      <w:r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  <w:lastRenderedPageBreak/>
        <w:t>2</w:t>
      </w:r>
      <w:r w:rsidRPr="005D19B0"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  <w:t>. Σύγκριση μεταξύ Μαρτίου και Απριλίου 2020 (</w:t>
      </w:r>
      <w:r w:rsidRPr="005D19B0">
        <w:rPr>
          <w:rFonts w:ascii="Calibri" w:eastAsia="Calibri" w:hAnsi="Calibri" w:cs="Arial"/>
          <w:i/>
          <w:iCs/>
          <w:color w:val="auto"/>
          <w:sz w:val="22"/>
          <w:szCs w:val="22"/>
          <w:u w:val="single"/>
          <w:lang w:val="el-GR"/>
        </w:rPr>
        <w:t>μηνιαία σύγκριση</w:t>
      </w:r>
      <w:r w:rsidRPr="005D19B0"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  <w:t>):</w:t>
      </w:r>
    </w:p>
    <w:p w:rsidR="005D19B0" w:rsidRPr="005D19B0" w:rsidRDefault="005D19B0" w:rsidP="005D19B0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5D19B0">
        <w:rPr>
          <w:rFonts w:ascii="Calibri" w:eastAsia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  <w:t>Τον Απρίλιο</w:t>
      </w:r>
      <w:r w:rsidRPr="005D19B0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ο αριθμός των εγγεγραμμένων ανέργων </w:t>
      </w:r>
      <w:r w:rsidRPr="005D19B0">
        <w:rPr>
          <w:rFonts w:ascii="Calibri" w:eastAsia="Calibri" w:hAnsi="Calibri" w:cs="Arial"/>
          <w:b w:val="0"/>
          <w:bCs w:val="0"/>
          <w:color w:val="auto"/>
          <w:sz w:val="22"/>
          <w:szCs w:val="22"/>
          <w:u w:val="single"/>
          <w:lang w:val="el-GR"/>
        </w:rPr>
        <w:t>αυξήθηκε</w:t>
      </w:r>
      <w:r w:rsidRPr="005D19B0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 xml:space="preserve"> </w:t>
      </w:r>
      <w:r w:rsidRPr="005D19B0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κατά 2.238 άτομα ή 8,5% σε σύγκριση με τον προηγού</w:t>
      </w:r>
      <w:r w:rsidRPr="005D19B0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softHyphen/>
        <w:t>μενο μήνα.</w:t>
      </w:r>
    </w:p>
    <w:p w:rsidR="005D19B0" w:rsidRPr="005D19B0" w:rsidRDefault="005D19B0" w:rsidP="005D19B0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5D19B0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φύλο οι άντρες αυξήθηκαν κατά 1.116 άτομα και οι γυναίκες κατά 1.122 άτομα. </w:t>
      </w:r>
    </w:p>
    <w:p w:rsidR="005D19B0" w:rsidRPr="005D19B0" w:rsidRDefault="005D19B0" w:rsidP="005D19B0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</w:pPr>
      <w:r w:rsidRPr="005D19B0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Κατά ηλικία, η μεγαλύτερη αύξηση παρουσιάστηκε στην ηλικιακή ομάδα 30-39 χρονών κατά 663 άτομα.</w:t>
      </w:r>
    </w:p>
    <w:p w:rsidR="005D19B0" w:rsidRPr="005D19B0" w:rsidRDefault="005D19B0" w:rsidP="005D19B0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5D19B0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εθνότητα, η μεγαλύτερη αύξηση παρατηρήθηκε ανάμεσα στους Ελληνοκύπριους κατά 1.478 άτομα. </w:t>
      </w:r>
    </w:p>
    <w:p w:rsidR="005D19B0" w:rsidRPr="005D19B0" w:rsidRDefault="005D19B0" w:rsidP="005D19B0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</w:pPr>
      <w:r w:rsidRPr="005D19B0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Κατά διάρκεια ανεργίας, η μεγαλύτερη αύξηση παρουσιάστηκε στον αριθμό των ανέργων με διάρκεια ανεργίας από  6 μέχρι 12 μήνες κατά 2.118 άτομα, ενώ η μόνη μείωση που παρουσιάστηκε κατά 411 άτομα ήταν στον αριθμό των ανέργων με διάρκεια ανεργίας μέχρι 15 μέρες .</w:t>
      </w:r>
    </w:p>
    <w:p w:rsidR="005D19B0" w:rsidRPr="005D19B0" w:rsidRDefault="005D19B0" w:rsidP="005D19B0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5D19B0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τομέα οικονομικής δραστηριότητας, οι μεγαλύτερες αυξήσεις παρατηρήθηκαν στον τομέα </w:t>
      </w:r>
      <w:r w:rsidRPr="005D19B0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του εμπορίου κατά 498 άτομα και στον τομέα των ξενοδοχείων κατά 429 άτομα.</w:t>
      </w:r>
    </w:p>
    <w:p w:rsidR="005D19B0" w:rsidRPr="005D19B0" w:rsidRDefault="005D19B0" w:rsidP="005D19B0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</w:pPr>
      <w:r w:rsidRPr="005D19B0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επαρχία, η μεγαλύτερη αύξηση καταγράφηκε </w:t>
      </w:r>
      <w:r w:rsidRPr="005D19B0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στην επαρχία Λευκωσίας κατά 727</w:t>
      </w:r>
      <w:r w:rsidRPr="005D19B0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άτομα.</w:t>
      </w:r>
    </w:p>
    <w:p w:rsidR="005D19B0" w:rsidRPr="005D19B0" w:rsidRDefault="005D19B0" w:rsidP="005D19B0">
      <w:pPr>
        <w:rPr>
          <w:rFonts w:ascii="Calibri" w:hAnsi="Calibri" w:cs="Arial"/>
          <w:b w:val="0"/>
          <w:bCs w:val="0"/>
          <w:i/>
          <w:iCs/>
          <w:color w:val="auto"/>
          <w:sz w:val="22"/>
          <w:szCs w:val="22"/>
          <w:lang w:val="el-GR"/>
        </w:rPr>
      </w:pPr>
    </w:p>
    <w:p w:rsidR="005D19B0" w:rsidRPr="005D19B0" w:rsidRDefault="005D19B0" w:rsidP="005D19B0">
      <w:pPr>
        <w:rPr>
          <w:rFonts w:ascii="Calibri" w:hAnsi="Calibri" w:cs="Arial"/>
          <w:bCs w:val="0"/>
          <w:i/>
          <w:iCs/>
          <w:color w:val="auto"/>
          <w:sz w:val="22"/>
          <w:szCs w:val="22"/>
          <w:lang w:val="el-GR"/>
        </w:rPr>
      </w:pPr>
      <w:r>
        <w:rPr>
          <w:rFonts w:ascii="Calibri" w:hAnsi="Calibri" w:cs="Arial"/>
          <w:bCs w:val="0"/>
          <w:i/>
          <w:iCs/>
          <w:color w:val="auto"/>
          <w:sz w:val="22"/>
          <w:szCs w:val="22"/>
          <w:lang w:val="el-GR"/>
        </w:rPr>
        <w:t>3</w:t>
      </w:r>
      <w:r w:rsidRPr="005D19B0">
        <w:rPr>
          <w:rFonts w:ascii="Calibri" w:hAnsi="Calibri" w:cs="Arial"/>
          <w:bCs w:val="0"/>
          <w:i/>
          <w:iCs/>
          <w:color w:val="auto"/>
          <w:sz w:val="22"/>
          <w:szCs w:val="22"/>
          <w:lang w:val="el-GR"/>
        </w:rPr>
        <w:t>. Νέες Εγγραφές</w:t>
      </w:r>
      <w:r w:rsidRPr="005D19B0">
        <w:rPr>
          <w:rFonts w:ascii="Calibri" w:hAnsi="Calibri" w:cs="Arial"/>
          <w:bCs w:val="0"/>
          <w:i/>
          <w:iCs/>
          <w:color w:val="auto"/>
          <w:sz w:val="22"/>
          <w:szCs w:val="22"/>
          <w:vertAlign w:val="superscript"/>
          <w:lang w:val="el-GR"/>
        </w:rPr>
        <w:footnoteReference w:id="1"/>
      </w:r>
      <w:r w:rsidRPr="005D19B0">
        <w:rPr>
          <w:rFonts w:ascii="Calibri" w:hAnsi="Calibri" w:cs="Arial"/>
          <w:bCs w:val="0"/>
          <w:i/>
          <w:iCs/>
          <w:color w:val="auto"/>
          <w:sz w:val="22"/>
          <w:szCs w:val="22"/>
          <w:lang w:val="el-GR"/>
        </w:rPr>
        <w:t xml:space="preserve"> Ανέργων κατά Επαρχία και μήνα</w:t>
      </w:r>
    </w:p>
    <w:p w:rsidR="005D19B0" w:rsidRPr="005D19B0" w:rsidRDefault="005D19B0" w:rsidP="005D19B0">
      <w:pPr>
        <w:rPr>
          <w:rFonts w:ascii="Calibri" w:hAnsi="Calibri" w:cs="Arial"/>
          <w:b w:val="0"/>
          <w:bCs w:val="0"/>
          <w:iCs/>
          <w:color w:val="auto"/>
          <w:sz w:val="22"/>
          <w:szCs w:val="22"/>
          <w:lang w:val="el-GR"/>
        </w:rPr>
      </w:pPr>
    </w:p>
    <w:p w:rsidR="005D19B0" w:rsidRPr="005D19B0" w:rsidRDefault="005D19B0" w:rsidP="005D19B0">
      <w:pPr>
        <w:rPr>
          <w:rFonts w:ascii="Calibri" w:hAnsi="Calibri" w:cs="Arial"/>
          <w:b w:val="0"/>
          <w:bCs w:val="0"/>
          <w:iCs/>
          <w:color w:val="auto"/>
          <w:sz w:val="22"/>
          <w:szCs w:val="22"/>
          <w:lang w:val="el-GR"/>
        </w:rPr>
      </w:pPr>
      <w:r w:rsidRPr="005D19B0">
        <w:rPr>
          <w:rFonts w:ascii="Calibri" w:hAnsi="Calibri" w:cs="Arial"/>
          <w:b w:val="0"/>
          <w:bCs w:val="0"/>
          <w:iCs/>
          <w:color w:val="auto"/>
          <w:sz w:val="22"/>
          <w:szCs w:val="22"/>
          <w:lang w:val="el-GR"/>
        </w:rPr>
        <w:t>Στον πιο κάτω πίνακα παρατίθενται ο αριθμός των νέων εγγραφών ανέργων κατά επαρχία και μήνα:</w:t>
      </w:r>
    </w:p>
    <w:p w:rsidR="005D19B0" w:rsidRPr="005D19B0" w:rsidRDefault="005D19B0" w:rsidP="005D19B0">
      <w:pPr>
        <w:rPr>
          <w:rFonts w:ascii="Calibri" w:hAnsi="Calibri" w:cs="Arial"/>
          <w:b w:val="0"/>
          <w:bCs w:val="0"/>
          <w:i/>
          <w:iCs/>
          <w:color w:val="auto"/>
          <w:sz w:val="16"/>
          <w:szCs w:val="16"/>
          <w:lang w:val="el-GR"/>
        </w:rPr>
      </w:pPr>
    </w:p>
    <w:p w:rsidR="005D19B0" w:rsidRPr="005D19B0" w:rsidRDefault="005D19B0" w:rsidP="005D19B0">
      <w:pPr>
        <w:rPr>
          <w:rFonts w:ascii="Calibri" w:hAnsi="Calibri" w:cs="Arial"/>
          <w:b w:val="0"/>
          <w:bCs w:val="0"/>
          <w:i/>
          <w:iCs/>
          <w:color w:val="auto"/>
          <w:sz w:val="16"/>
          <w:szCs w:val="16"/>
          <w:lang w:val="el-GR"/>
        </w:rPr>
      </w:pPr>
    </w:p>
    <w:p w:rsidR="005D19B0" w:rsidRPr="005D19B0" w:rsidRDefault="005D19B0" w:rsidP="005D19B0">
      <w:pPr>
        <w:rPr>
          <w:rFonts w:ascii="Calibri" w:hAnsi="Calibri" w:cs="Arial"/>
          <w:b w:val="0"/>
          <w:bCs w:val="0"/>
          <w:i/>
          <w:iCs/>
          <w:color w:val="auto"/>
          <w:sz w:val="16"/>
          <w:szCs w:val="16"/>
          <w:lang w:val="el-GR"/>
        </w:rPr>
      </w:pPr>
    </w:p>
    <w:tbl>
      <w:tblPr>
        <w:tblW w:w="9116" w:type="dxa"/>
        <w:jc w:val="center"/>
        <w:tblInd w:w="5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4"/>
        <w:gridCol w:w="1843"/>
        <w:gridCol w:w="1843"/>
        <w:gridCol w:w="1843"/>
        <w:gridCol w:w="1843"/>
      </w:tblGrid>
      <w:tr w:rsidR="005D19B0" w:rsidRPr="005D19B0" w:rsidTr="00C873B3">
        <w:trPr>
          <w:trHeight w:val="98"/>
          <w:jc w:val="center"/>
        </w:trPr>
        <w:tc>
          <w:tcPr>
            <w:tcW w:w="17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19B0" w:rsidRPr="005D19B0" w:rsidRDefault="005D19B0" w:rsidP="005D19B0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B0" w:rsidRPr="005D19B0" w:rsidRDefault="005D19B0" w:rsidP="005D19B0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5D19B0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Ιανουάριος 2020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B0" w:rsidRPr="005D19B0" w:rsidRDefault="005D19B0" w:rsidP="005D19B0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5D19B0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Φεβρουάριος 2020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B0" w:rsidRPr="005D19B0" w:rsidRDefault="005D19B0" w:rsidP="005D19B0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5D19B0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Μάρτιος 2020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B0" w:rsidRPr="005D19B0" w:rsidRDefault="005D19B0" w:rsidP="005D19B0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5D19B0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Απρίλιος 2020</w:t>
            </w:r>
          </w:p>
        </w:tc>
      </w:tr>
      <w:tr w:rsidR="005D19B0" w:rsidRPr="005D19B0" w:rsidTr="00C873B3">
        <w:trPr>
          <w:trHeight w:val="231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19B0" w:rsidRPr="005D19B0" w:rsidRDefault="005D19B0" w:rsidP="005D19B0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5D19B0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Λευκωσία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B0" w:rsidRPr="005D19B0" w:rsidRDefault="005D19B0" w:rsidP="005D19B0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5D19B0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1770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B0" w:rsidRPr="005D19B0" w:rsidRDefault="005D19B0" w:rsidP="005D19B0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5D19B0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1373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B0" w:rsidRPr="005D19B0" w:rsidRDefault="005D19B0" w:rsidP="005D19B0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5D19B0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1221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B0" w:rsidRPr="005D19B0" w:rsidRDefault="005D19B0" w:rsidP="005D19B0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5D19B0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796</w:t>
            </w:r>
          </w:p>
        </w:tc>
      </w:tr>
      <w:tr w:rsidR="005D19B0" w:rsidRPr="005D19B0" w:rsidTr="00C873B3">
        <w:trPr>
          <w:trHeight w:val="231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19B0" w:rsidRPr="005D19B0" w:rsidRDefault="005D19B0" w:rsidP="005D19B0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5D19B0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Λάρνακα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B0" w:rsidRPr="005D19B0" w:rsidRDefault="005D19B0" w:rsidP="005D19B0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5D19B0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855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B0" w:rsidRPr="005D19B0" w:rsidRDefault="005D19B0" w:rsidP="005D19B0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5D19B0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B0" w:rsidRPr="005D19B0" w:rsidRDefault="005D19B0" w:rsidP="005D19B0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5D19B0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595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B0" w:rsidRPr="005D19B0" w:rsidRDefault="005D19B0" w:rsidP="005D19B0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5D19B0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374</w:t>
            </w:r>
          </w:p>
        </w:tc>
      </w:tr>
      <w:tr w:rsidR="005D19B0" w:rsidRPr="005D19B0" w:rsidTr="00C873B3">
        <w:trPr>
          <w:trHeight w:val="231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19B0" w:rsidRPr="005D19B0" w:rsidRDefault="005D19B0" w:rsidP="005D19B0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5D19B0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Αμμόχωστος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B0" w:rsidRPr="005D19B0" w:rsidRDefault="005D19B0" w:rsidP="005D19B0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5D19B0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695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B0" w:rsidRPr="005D19B0" w:rsidRDefault="005D19B0" w:rsidP="005D19B0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5D19B0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315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B0" w:rsidRPr="005D19B0" w:rsidRDefault="005D19B0" w:rsidP="005D19B0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5D19B0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266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B0" w:rsidRPr="005D19B0" w:rsidRDefault="005D19B0" w:rsidP="005D19B0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5D19B0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2</w:t>
            </w:r>
            <w:r w:rsidRPr="005D19B0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40</w:t>
            </w:r>
          </w:p>
        </w:tc>
      </w:tr>
      <w:tr w:rsidR="005D19B0" w:rsidRPr="005D19B0" w:rsidTr="00C873B3">
        <w:trPr>
          <w:trHeight w:val="231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19B0" w:rsidRPr="005D19B0" w:rsidRDefault="005D19B0" w:rsidP="005D19B0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5D19B0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Λεμεσός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B0" w:rsidRPr="005D19B0" w:rsidRDefault="005D19B0" w:rsidP="005D19B0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5D19B0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1389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B0" w:rsidRPr="005D19B0" w:rsidRDefault="005D19B0" w:rsidP="005D19B0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5D19B0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1102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B0" w:rsidRPr="005D19B0" w:rsidRDefault="005D19B0" w:rsidP="005D19B0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5D19B0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929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B0" w:rsidRPr="005D19B0" w:rsidRDefault="005D19B0" w:rsidP="005D19B0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5D19B0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6</w:t>
            </w:r>
            <w:r w:rsidRPr="005D19B0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57</w:t>
            </w:r>
          </w:p>
        </w:tc>
      </w:tr>
      <w:tr w:rsidR="005D19B0" w:rsidRPr="005D19B0" w:rsidTr="00C873B3">
        <w:trPr>
          <w:trHeight w:val="231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19B0" w:rsidRPr="005D19B0" w:rsidRDefault="005D19B0" w:rsidP="005D19B0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5D19B0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Πάφος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B0" w:rsidRPr="005D19B0" w:rsidRDefault="005D19B0" w:rsidP="005D19B0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5D19B0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B0" w:rsidRPr="005D19B0" w:rsidRDefault="005D19B0" w:rsidP="005D19B0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5D19B0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603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B0" w:rsidRPr="005D19B0" w:rsidRDefault="005D19B0" w:rsidP="005D19B0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5D19B0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539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B0" w:rsidRPr="005D19B0" w:rsidRDefault="005D19B0" w:rsidP="005D19B0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5D19B0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436</w:t>
            </w:r>
          </w:p>
        </w:tc>
      </w:tr>
      <w:tr w:rsidR="005D19B0" w:rsidRPr="005D19B0" w:rsidTr="00C873B3">
        <w:trPr>
          <w:trHeight w:val="348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D19B0" w:rsidRPr="005D19B0" w:rsidRDefault="005D19B0" w:rsidP="005D19B0">
            <w:pPr>
              <w:spacing w:line="276" w:lineRule="auto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5D19B0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 xml:space="preserve">ΣΥΝΟΛΟ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D19B0" w:rsidRPr="005D19B0" w:rsidRDefault="005D19B0" w:rsidP="005D19B0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5D19B0">
              <w:rPr>
                <w:rFonts w:ascii="Calibri" w:hAnsi="Calibri" w:cs="Arial"/>
                <w:color w:val="auto"/>
                <w:sz w:val="22"/>
                <w:szCs w:val="22"/>
              </w:rPr>
              <w:t>5678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D19B0" w:rsidRPr="005D19B0" w:rsidRDefault="005D19B0" w:rsidP="005D19B0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5D19B0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4184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D19B0" w:rsidRPr="005D19B0" w:rsidRDefault="005D19B0" w:rsidP="005D19B0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5D19B0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3550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D19B0" w:rsidRPr="005D19B0" w:rsidRDefault="005D19B0" w:rsidP="005D19B0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5D19B0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2</w:t>
            </w:r>
            <w:r w:rsidRPr="005D19B0">
              <w:rPr>
                <w:rFonts w:ascii="Calibri" w:hAnsi="Calibri" w:cs="Arial"/>
                <w:color w:val="auto"/>
                <w:sz w:val="22"/>
                <w:szCs w:val="22"/>
              </w:rPr>
              <w:t>503</w:t>
            </w:r>
          </w:p>
        </w:tc>
      </w:tr>
    </w:tbl>
    <w:p w:rsidR="005D19B0" w:rsidRPr="005D19B0" w:rsidRDefault="005D19B0" w:rsidP="005D19B0">
      <w:pPr>
        <w:spacing w:line="276" w:lineRule="auto"/>
        <w:jc w:val="both"/>
        <w:rPr>
          <w:rFonts w:ascii="Calibri" w:eastAsia="Calibri" w:hAnsi="Calibri" w:cs="Arial"/>
          <w:color w:val="auto"/>
          <w:sz w:val="22"/>
          <w:szCs w:val="22"/>
          <w:lang w:val="el-GR" w:eastAsia="x-none"/>
        </w:rPr>
      </w:pPr>
    </w:p>
    <w:p w:rsidR="005D19B0" w:rsidRPr="005D19B0" w:rsidRDefault="005D19B0" w:rsidP="005D19B0">
      <w:pPr>
        <w:spacing w:line="276" w:lineRule="auto"/>
        <w:rPr>
          <w:rFonts w:ascii="Calibri" w:eastAsia="Calibri" w:hAnsi="Calibri" w:cs="Arial"/>
          <w:color w:val="auto"/>
          <w:lang w:val="el-GR" w:eastAsia="x-none"/>
        </w:rPr>
      </w:pPr>
    </w:p>
    <w:p w:rsidR="00725077" w:rsidRDefault="00725077">
      <w:pPr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>
        <w:rPr>
          <w:rFonts w:ascii="Calibri" w:hAnsi="Calibri" w:cs="Calibri"/>
          <w:bCs w:val="0"/>
          <w:color w:val="auto"/>
          <w:sz w:val="22"/>
          <w:szCs w:val="22"/>
          <w:lang w:val="el-GR"/>
        </w:rPr>
        <w:br w:type="page"/>
      </w:r>
    </w:p>
    <w:p w:rsidR="00B374D7" w:rsidRPr="005D19B0" w:rsidRDefault="007E74B3" w:rsidP="00E411AE">
      <w:pPr>
        <w:rPr>
          <w:rFonts w:ascii="Calibri" w:hAnsi="Calibri" w:cs="Calibri"/>
          <w:color w:val="FF0000"/>
          <w:sz w:val="22"/>
          <w:szCs w:val="22"/>
          <w:lang w:val="el-GR"/>
        </w:rPr>
      </w:pPr>
      <w:r w:rsidRPr="00E72B6A">
        <w:rPr>
          <w:rFonts w:ascii="Calibri" w:hAnsi="Calibri" w:cs="Calibri"/>
          <w:bCs w:val="0"/>
          <w:color w:val="auto"/>
          <w:sz w:val="22"/>
          <w:szCs w:val="22"/>
          <w:lang w:val="el-GR"/>
        </w:rPr>
        <w:lastRenderedPageBreak/>
        <w:t>Γ</w:t>
      </w:r>
      <w:r w:rsidR="00B374D7" w:rsidRPr="00E72B6A">
        <w:rPr>
          <w:rFonts w:ascii="Calibri" w:hAnsi="Calibri" w:cs="Calibri"/>
          <w:bCs w:val="0"/>
          <w:color w:val="auto"/>
          <w:sz w:val="22"/>
          <w:szCs w:val="22"/>
          <w:lang w:val="el-GR"/>
        </w:rPr>
        <w:t>.</w:t>
      </w:r>
      <w:r w:rsidR="003D02C1" w:rsidRPr="00E72B6A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  <w:r w:rsidR="00B374D7" w:rsidRPr="00E72B6A">
        <w:rPr>
          <w:rFonts w:ascii="Calibri" w:hAnsi="Calibri" w:cs="Calibri"/>
          <w:color w:val="auto"/>
          <w:sz w:val="22"/>
          <w:szCs w:val="22"/>
          <w:lang w:val="el-GR"/>
        </w:rPr>
        <w:t>Σ</w:t>
      </w:r>
      <w:r w:rsidR="008154E9" w:rsidRPr="00E72B6A">
        <w:rPr>
          <w:rFonts w:ascii="Calibri" w:hAnsi="Calibri" w:cs="Calibri"/>
          <w:color w:val="auto"/>
          <w:sz w:val="22"/>
          <w:szCs w:val="22"/>
          <w:lang w:val="el-GR"/>
        </w:rPr>
        <w:t xml:space="preserve">υνοπτική </w:t>
      </w:r>
      <w:r w:rsidR="007E455C" w:rsidRPr="00E72B6A">
        <w:rPr>
          <w:rFonts w:ascii="Calibri" w:hAnsi="Calibri" w:cs="Calibri"/>
          <w:color w:val="auto"/>
          <w:sz w:val="22"/>
          <w:szCs w:val="22"/>
          <w:lang w:val="el-GR"/>
        </w:rPr>
        <w:t>παρουσίαση</w:t>
      </w:r>
      <w:r w:rsidR="00B374D7" w:rsidRPr="00E72B6A">
        <w:rPr>
          <w:rFonts w:ascii="Calibri" w:hAnsi="Calibri" w:cs="Calibri"/>
          <w:color w:val="auto"/>
          <w:sz w:val="22"/>
          <w:szCs w:val="22"/>
          <w:lang w:val="el-GR"/>
        </w:rPr>
        <w:t xml:space="preserve"> </w:t>
      </w:r>
      <w:r w:rsidR="007E455C" w:rsidRPr="00E72B6A">
        <w:rPr>
          <w:rFonts w:ascii="Calibri" w:hAnsi="Calibri" w:cs="Calibri"/>
          <w:color w:val="auto"/>
          <w:sz w:val="22"/>
          <w:szCs w:val="22"/>
          <w:lang w:val="el-GR"/>
        </w:rPr>
        <w:t>των</w:t>
      </w:r>
      <w:r w:rsidR="00B374D7" w:rsidRPr="00E72B6A">
        <w:rPr>
          <w:rFonts w:ascii="Calibri" w:hAnsi="Calibri" w:cs="Calibri"/>
          <w:color w:val="auto"/>
          <w:sz w:val="22"/>
          <w:szCs w:val="22"/>
          <w:lang w:val="el-GR"/>
        </w:rPr>
        <w:t xml:space="preserve"> Εξελίξε</w:t>
      </w:r>
      <w:r w:rsidR="007E455C" w:rsidRPr="00E72B6A">
        <w:rPr>
          <w:rFonts w:ascii="Calibri" w:hAnsi="Calibri" w:cs="Calibri"/>
          <w:color w:val="auto"/>
          <w:sz w:val="22"/>
          <w:szCs w:val="22"/>
          <w:lang w:val="el-GR"/>
        </w:rPr>
        <w:t>ων</w:t>
      </w:r>
      <w:r w:rsidR="00B374D7" w:rsidRPr="00E72B6A">
        <w:rPr>
          <w:rFonts w:ascii="Calibri" w:hAnsi="Calibri" w:cs="Calibri"/>
          <w:color w:val="auto"/>
          <w:sz w:val="22"/>
          <w:szCs w:val="22"/>
          <w:lang w:val="el-GR"/>
        </w:rPr>
        <w:t xml:space="preserve"> στην Αγορά Εργασίας κατά επαρχία το</w:t>
      </w:r>
      <w:r w:rsidR="00653268" w:rsidRPr="00E72B6A">
        <w:rPr>
          <w:rFonts w:ascii="Calibri" w:hAnsi="Calibri" w:cs="Calibri"/>
          <w:color w:val="auto"/>
          <w:sz w:val="22"/>
          <w:szCs w:val="22"/>
          <w:lang w:val="el-GR"/>
        </w:rPr>
        <w:t>ν</w:t>
      </w:r>
      <w:r w:rsidR="00B374D7" w:rsidRPr="00E72B6A">
        <w:rPr>
          <w:rFonts w:ascii="Calibri" w:hAnsi="Calibri" w:cs="Calibri"/>
          <w:color w:val="auto"/>
          <w:sz w:val="22"/>
          <w:szCs w:val="22"/>
          <w:lang w:val="el-GR"/>
        </w:rPr>
        <w:t xml:space="preserve"> </w:t>
      </w:r>
      <w:r w:rsidR="00C50F18" w:rsidRPr="00E72B6A">
        <w:rPr>
          <w:rFonts w:ascii="Calibri" w:hAnsi="Calibri" w:cs="Calibri"/>
          <w:color w:val="auto"/>
          <w:sz w:val="22"/>
          <w:szCs w:val="22"/>
          <w:lang w:val="el-GR"/>
        </w:rPr>
        <w:t>Απρίλιο</w:t>
      </w:r>
      <w:r w:rsidR="00A672B1" w:rsidRPr="00E72B6A">
        <w:rPr>
          <w:rFonts w:ascii="Calibri" w:hAnsi="Calibri" w:cs="Calibri"/>
          <w:color w:val="auto"/>
          <w:sz w:val="22"/>
          <w:szCs w:val="22"/>
          <w:lang w:val="el-GR"/>
        </w:rPr>
        <w:t xml:space="preserve"> </w:t>
      </w:r>
      <w:r w:rsidR="00B374D7" w:rsidRPr="00E72B6A">
        <w:rPr>
          <w:rFonts w:ascii="Calibri" w:hAnsi="Calibri" w:cs="Calibri"/>
          <w:color w:val="auto"/>
          <w:sz w:val="22"/>
          <w:szCs w:val="22"/>
          <w:lang w:val="el-GR"/>
        </w:rPr>
        <w:t>του</w:t>
      </w:r>
      <w:r w:rsidR="000560C8" w:rsidRPr="00E72B6A">
        <w:rPr>
          <w:rFonts w:ascii="Calibri" w:hAnsi="Calibri" w:cs="Calibri"/>
          <w:color w:val="auto"/>
          <w:sz w:val="22"/>
          <w:szCs w:val="22"/>
          <w:lang w:val="el-GR"/>
        </w:rPr>
        <w:t xml:space="preserve"> </w:t>
      </w:r>
      <w:r w:rsidR="00B374D7" w:rsidRPr="00E72B6A">
        <w:rPr>
          <w:rFonts w:ascii="Calibri" w:hAnsi="Calibri" w:cs="Calibri"/>
          <w:color w:val="auto"/>
          <w:sz w:val="22"/>
          <w:szCs w:val="22"/>
          <w:lang w:val="el-GR"/>
        </w:rPr>
        <w:t>20</w:t>
      </w:r>
      <w:r w:rsidR="00A672B1" w:rsidRPr="00E72B6A">
        <w:rPr>
          <w:rFonts w:ascii="Calibri" w:hAnsi="Calibri" w:cs="Calibri"/>
          <w:color w:val="auto"/>
          <w:sz w:val="22"/>
          <w:szCs w:val="22"/>
          <w:lang w:val="el-GR"/>
        </w:rPr>
        <w:t>20</w:t>
      </w:r>
      <w:r w:rsidR="002F5F46" w:rsidRPr="00E72B6A">
        <w:rPr>
          <w:rFonts w:ascii="Calibri" w:hAnsi="Calibri" w:cs="Calibri"/>
          <w:color w:val="auto"/>
          <w:sz w:val="22"/>
          <w:szCs w:val="22"/>
          <w:lang w:val="el-GR"/>
        </w:rPr>
        <w:t xml:space="preserve"> σε σύγκριση με τον ίδιο μήνα πέρσι</w:t>
      </w:r>
    </w:p>
    <w:p w:rsidR="00CA31D1" w:rsidRPr="00980BD7" w:rsidRDefault="00CA31D1" w:rsidP="00B374D7">
      <w:pPr>
        <w:spacing w:line="276" w:lineRule="auto"/>
        <w:rPr>
          <w:rFonts w:ascii="Calibri" w:hAnsi="Calibri" w:cs="Calibri"/>
          <w:color w:val="FF0000"/>
          <w:sz w:val="16"/>
          <w:szCs w:val="16"/>
          <w:u w:val="single"/>
          <w:lang w:val="el-GR"/>
        </w:rPr>
      </w:pPr>
    </w:p>
    <w:tbl>
      <w:tblPr>
        <w:tblW w:w="8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2"/>
        <w:gridCol w:w="1251"/>
        <w:gridCol w:w="1234"/>
        <w:gridCol w:w="1031"/>
        <w:gridCol w:w="1152"/>
        <w:gridCol w:w="1418"/>
        <w:gridCol w:w="990"/>
      </w:tblGrid>
      <w:tr w:rsidR="005046D0" w:rsidRPr="005046D0" w:rsidTr="00F14AF0">
        <w:trPr>
          <w:trHeight w:val="462"/>
        </w:trPr>
        <w:tc>
          <w:tcPr>
            <w:tcW w:w="1762" w:type="dxa"/>
          </w:tcPr>
          <w:p w:rsidR="00CA31D1" w:rsidRPr="005046D0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251" w:type="dxa"/>
          </w:tcPr>
          <w:p w:rsidR="00CA31D1" w:rsidRPr="005046D0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046D0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Παγκύπρια</w:t>
            </w:r>
          </w:p>
        </w:tc>
        <w:tc>
          <w:tcPr>
            <w:tcW w:w="1234" w:type="dxa"/>
          </w:tcPr>
          <w:p w:rsidR="00CA31D1" w:rsidRPr="005046D0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046D0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Επαρχία Λευκωσίας</w:t>
            </w:r>
          </w:p>
        </w:tc>
        <w:tc>
          <w:tcPr>
            <w:tcW w:w="1031" w:type="dxa"/>
          </w:tcPr>
          <w:p w:rsidR="00CA31D1" w:rsidRPr="005046D0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046D0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Επαρχία Λεμεσού </w:t>
            </w:r>
          </w:p>
        </w:tc>
        <w:tc>
          <w:tcPr>
            <w:tcW w:w="1152" w:type="dxa"/>
          </w:tcPr>
          <w:p w:rsidR="00CA31D1" w:rsidRPr="005046D0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046D0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Επαρχία Λάρνακας</w:t>
            </w:r>
          </w:p>
        </w:tc>
        <w:tc>
          <w:tcPr>
            <w:tcW w:w="1418" w:type="dxa"/>
          </w:tcPr>
          <w:p w:rsidR="00CA31D1" w:rsidRPr="005046D0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046D0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Επαρχία Αμμοχώστου</w:t>
            </w:r>
          </w:p>
        </w:tc>
        <w:tc>
          <w:tcPr>
            <w:tcW w:w="990" w:type="dxa"/>
          </w:tcPr>
          <w:p w:rsidR="00CA31D1" w:rsidRPr="005046D0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046D0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Επαρχία Πάφου</w:t>
            </w:r>
          </w:p>
        </w:tc>
      </w:tr>
      <w:tr w:rsidR="005046D0" w:rsidRPr="005046D0" w:rsidTr="00F14AF0">
        <w:trPr>
          <w:trHeight w:val="937"/>
        </w:trPr>
        <w:tc>
          <w:tcPr>
            <w:tcW w:w="1762" w:type="dxa"/>
          </w:tcPr>
          <w:p w:rsidR="00574FDE" w:rsidRPr="00370E4B" w:rsidRDefault="00574FDE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CA31D1" w:rsidRPr="00370E4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70E4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Εργατικό Δυναμικό</w:t>
            </w:r>
          </w:p>
          <w:p w:rsidR="007E455C" w:rsidRPr="00370E4B" w:rsidRDefault="0035798A" w:rsidP="00370E4B">
            <w:pPr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</w:pPr>
            <w:r w:rsidRPr="00370E4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</w:rPr>
              <w:t>(</w:t>
            </w:r>
            <w:r w:rsidRPr="00370E4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201</w:t>
            </w:r>
            <w:r w:rsidR="001378EF" w:rsidRPr="00370E4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9</w:t>
            </w:r>
            <w:r w:rsidRPr="00370E4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1251" w:type="dxa"/>
          </w:tcPr>
          <w:p w:rsidR="00CA31D1" w:rsidRPr="00370E4B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C70D27" w:rsidRPr="00370E4B" w:rsidRDefault="00370E4B" w:rsidP="0035798A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70E4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448181</w:t>
            </w:r>
          </w:p>
          <w:p w:rsidR="0035798A" w:rsidRPr="00370E4B" w:rsidRDefault="0035798A" w:rsidP="0050393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70E4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234" w:type="dxa"/>
          </w:tcPr>
          <w:p w:rsidR="007E455C" w:rsidRPr="00370E4B" w:rsidRDefault="007E455C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7E455C" w:rsidRPr="00370E4B" w:rsidRDefault="00370E4B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70E4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178227</w:t>
            </w:r>
          </w:p>
          <w:p w:rsidR="007E455C" w:rsidRPr="00370E4B" w:rsidRDefault="007E455C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031" w:type="dxa"/>
          </w:tcPr>
          <w:p w:rsidR="00CA31D1" w:rsidRPr="00370E4B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7E455C" w:rsidRPr="00370E4B" w:rsidRDefault="00370E4B" w:rsidP="00FB66E4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70E4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126188</w:t>
            </w:r>
          </w:p>
        </w:tc>
        <w:tc>
          <w:tcPr>
            <w:tcW w:w="1152" w:type="dxa"/>
          </w:tcPr>
          <w:p w:rsidR="00CA31D1" w:rsidRPr="00370E4B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7E455C" w:rsidRPr="00370E4B" w:rsidRDefault="00370E4B" w:rsidP="00FB66E4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70E4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76019</w:t>
            </w:r>
          </w:p>
        </w:tc>
        <w:tc>
          <w:tcPr>
            <w:tcW w:w="1418" w:type="dxa"/>
          </w:tcPr>
          <w:p w:rsidR="00CA31D1" w:rsidRPr="00370E4B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7E455C" w:rsidRPr="00370E4B" w:rsidRDefault="00370E4B" w:rsidP="00FB66E4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70E4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24881</w:t>
            </w:r>
          </w:p>
        </w:tc>
        <w:tc>
          <w:tcPr>
            <w:tcW w:w="990" w:type="dxa"/>
          </w:tcPr>
          <w:p w:rsidR="00CA31D1" w:rsidRPr="00370E4B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7E455C" w:rsidRPr="00370E4B" w:rsidRDefault="00370E4B" w:rsidP="005C299A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70E4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42865</w:t>
            </w:r>
          </w:p>
        </w:tc>
      </w:tr>
      <w:tr w:rsidR="006145C7" w:rsidRPr="006145C7" w:rsidTr="00F14AF0">
        <w:trPr>
          <w:trHeight w:val="707"/>
        </w:trPr>
        <w:tc>
          <w:tcPr>
            <w:tcW w:w="1762" w:type="dxa"/>
          </w:tcPr>
          <w:p w:rsidR="00CA31D1" w:rsidRPr="00CD7B08" w:rsidRDefault="00CA31D1" w:rsidP="00CA31D1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CD7B08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Σύνολο Ανέργων</w:t>
            </w:r>
          </w:p>
          <w:p w:rsidR="007E455C" w:rsidRPr="00CD7B08" w:rsidRDefault="007E455C" w:rsidP="00CA31D1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D7B08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Μεταβολή</w:t>
            </w:r>
          </w:p>
          <w:p w:rsidR="00CA31D1" w:rsidRPr="00CD7B08" w:rsidRDefault="00CA31D1" w:rsidP="00CA31D1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CD7B0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3)</w:t>
            </w:r>
          </w:p>
        </w:tc>
        <w:tc>
          <w:tcPr>
            <w:tcW w:w="1251" w:type="dxa"/>
          </w:tcPr>
          <w:p w:rsidR="00C70D27" w:rsidRPr="00CD7B08" w:rsidRDefault="00F62FAF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28</w:t>
            </w:r>
            <w:r w:rsidR="00C50F18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591</w:t>
            </w:r>
          </w:p>
          <w:p w:rsidR="00133A83" w:rsidRPr="00CD7B08" w:rsidRDefault="00F62FAF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8276</w:t>
            </w:r>
            <w:r w:rsidR="00133A83" w:rsidRPr="00CD7B0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133A83" w:rsidRPr="00CD7B08" w:rsidRDefault="00F62FAF" w:rsidP="00CD7B08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4</w:t>
            </w:r>
            <w:r w:rsidR="008B3FD9" w:rsidRPr="00CD7B0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</w:t>
            </w:r>
            <w:r w:rsidR="00133A83" w:rsidRPr="00CD7B0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234" w:type="dxa"/>
          </w:tcPr>
          <w:p w:rsidR="00CD7B08" w:rsidRPr="00CD7B08" w:rsidRDefault="00F62FAF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7143</w:t>
            </w:r>
          </w:p>
          <w:p w:rsidR="007E455C" w:rsidRPr="00CD7B08" w:rsidRDefault="00F62FAF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133</w:t>
            </w:r>
            <w:r w:rsidR="007E455C" w:rsidRPr="00CD7B0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7E455C" w:rsidRPr="00CD7B08" w:rsidRDefault="007E455C" w:rsidP="00F62FA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u w:val="single"/>
                <w:lang w:val="el-GR"/>
              </w:rPr>
            </w:pPr>
            <w:r w:rsidRPr="00CD7B0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F62FA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2</w:t>
            </w:r>
            <w:r w:rsidRPr="00CD7B0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31" w:type="dxa"/>
          </w:tcPr>
          <w:p w:rsidR="00CA31D1" w:rsidRPr="00F62FAF" w:rsidRDefault="00F62FAF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5992</w:t>
            </w:r>
          </w:p>
          <w:p w:rsidR="007E455C" w:rsidRPr="00CD7B08" w:rsidRDefault="00F62FAF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742</w:t>
            </w:r>
            <w:r w:rsidR="007E455C" w:rsidRPr="00CD7B0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 </w:t>
            </w:r>
          </w:p>
          <w:p w:rsidR="007E455C" w:rsidRPr="00CD7B08" w:rsidRDefault="00F62FAF" w:rsidP="008F5947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14</w:t>
            </w:r>
            <w:r w:rsidR="007E455C" w:rsidRPr="00CD7B0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152" w:type="dxa"/>
          </w:tcPr>
          <w:p w:rsidR="00CA31D1" w:rsidRPr="00F62FAF" w:rsidRDefault="00F62FAF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4862</w:t>
            </w:r>
          </w:p>
          <w:p w:rsidR="00AB7A1A" w:rsidRPr="00CD7B08" w:rsidRDefault="00F62FAF" w:rsidP="00AB7A1A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1323</w:t>
            </w:r>
            <w:r w:rsidR="002F5F46" w:rsidRPr="00CD7B0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  <w:r w:rsidR="00206B2B" w:rsidRPr="00CD7B0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  </w:t>
            </w:r>
          </w:p>
          <w:p w:rsidR="00206B2B" w:rsidRPr="00CD7B08" w:rsidRDefault="00F62FAF" w:rsidP="008F5947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37</w:t>
            </w:r>
            <w:r w:rsidR="00206B2B" w:rsidRPr="00CD7B0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418" w:type="dxa"/>
          </w:tcPr>
          <w:p w:rsidR="00CA31D1" w:rsidRPr="00F62FAF" w:rsidRDefault="00F62FAF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6380</w:t>
            </w:r>
          </w:p>
          <w:p w:rsidR="00CD7B08" w:rsidRPr="00CD7B08" w:rsidRDefault="00F62FAF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4350</w:t>
            </w:r>
          </w:p>
          <w:p w:rsidR="00206B2B" w:rsidRPr="00CD7B08" w:rsidRDefault="00CD7B08" w:rsidP="00CD7B08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CD7B0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21</w:t>
            </w:r>
            <w:r w:rsidR="00F62FA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4</w:t>
            </w:r>
            <w:r w:rsidR="008F5947" w:rsidRPr="00CD7B0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%</w:t>
            </w:r>
            <w:r w:rsidR="00D70016" w:rsidRPr="00CD7B0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990" w:type="dxa"/>
          </w:tcPr>
          <w:p w:rsidR="00CA31D1" w:rsidRPr="00F62FAF" w:rsidRDefault="00F62FAF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4214</w:t>
            </w:r>
          </w:p>
          <w:p w:rsidR="00206B2B" w:rsidRPr="00CD7B08" w:rsidRDefault="00F62FAF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1728</w:t>
            </w:r>
            <w:r w:rsidR="00206B2B" w:rsidRPr="00CD7B0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 </w:t>
            </w:r>
          </w:p>
          <w:p w:rsidR="00206B2B" w:rsidRPr="00CD7B08" w:rsidRDefault="00F62FAF" w:rsidP="008F5947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70</w:t>
            </w:r>
            <w:r w:rsidR="00206B2B" w:rsidRPr="00CD7B0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</w:tr>
      <w:tr w:rsidR="006145C7" w:rsidRPr="006145C7" w:rsidTr="00F14AF0">
        <w:trPr>
          <w:trHeight w:val="923"/>
        </w:trPr>
        <w:tc>
          <w:tcPr>
            <w:tcW w:w="1762" w:type="dxa"/>
          </w:tcPr>
          <w:p w:rsidR="00CA31D1" w:rsidRPr="00FD6014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FD6014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Άνεργοι Ευρωπαίοι</w:t>
            </w:r>
          </w:p>
          <w:p w:rsidR="007E455C" w:rsidRPr="00FD6014" w:rsidRDefault="007E455C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FD6014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Μεταβολή</w:t>
            </w:r>
          </w:p>
          <w:p w:rsidR="00CA31D1" w:rsidRPr="00FD6014" w:rsidRDefault="00CA31D1" w:rsidP="00B374D7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FD601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9)</w:t>
            </w:r>
          </w:p>
        </w:tc>
        <w:tc>
          <w:tcPr>
            <w:tcW w:w="1251" w:type="dxa"/>
          </w:tcPr>
          <w:p w:rsidR="00C70D27" w:rsidRPr="00E72B6A" w:rsidRDefault="00E72B6A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8318</w:t>
            </w:r>
          </w:p>
          <w:p w:rsidR="00133A83" w:rsidRPr="00FD6014" w:rsidRDefault="00E72B6A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4330</w:t>
            </w:r>
            <w:r w:rsidR="00626E34" w:rsidRPr="00FD601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</w:t>
            </w:r>
            <w:r w:rsidR="00D345BD" w:rsidRPr="00FD601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133A83" w:rsidRPr="00FD6014" w:rsidRDefault="00E72B6A" w:rsidP="008F594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109</w:t>
            </w:r>
            <w:r w:rsidR="00325BC5" w:rsidRPr="00FD601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234" w:type="dxa"/>
          </w:tcPr>
          <w:p w:rsidR="00574FDE" w:rsidRPr="00FD6014" w:rsidRDefault="00E72B6A" w:rsidP="00574FDE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1155</w:t>
            </w:r>
          </w:p>
          <w:p w:rsidR="00C24A58" w:rsidRPr="00FD6014" w:rsidRDefault="00E72B6A" w:rsidP="00BD0785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</w:t>
            </w:r>
            <w:r w:rsidR="00CD7B08" w:rsidRPr="00FD601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57</w:t>
            </w:r>
            <w:r w:rsidR="00D345BD" w:rsidRPr="00FD601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913D79" w:rsidRPr="00FD6014" w:rsidRDefault="00E72B6A" w:rsidP="005E0A69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16</w:t>
            </w:r>
            <w:r w:rsidR="00913D79" w:rsidRPr="00FD601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31" w:type="dxa"/>
          </w:tcPr>
          <w:p w:rsidR="00574FDE" w:rsidRPr="00FD6014" w:rsidRDefault="00686EF5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FD6014">
              <w:rPr>
                <w:rFonts w:asciiTheme="minorHAnsi" w:hAnsiTheme="minorHAnsi" w:cs="Calibri"/>
                <w:color w:val="auto"/>
                <w:sz w:val="22"/>
                <w:szCs w:val="22"/>
              </w:rPr>
              <w:t>10</w:t>
            </w:r>
            <w:r w:rsidR="00CD7B08" w:rsidRPr="00FD6014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97</w:t>
            </w:r>
            <w:r w:rsidR="00206B2B" w:rsidRPr="00FD6014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 </w:t>
            </w:r>
          </w:p>
          <w:p w:rsidR="00C24A58" w:rsidRPr="00FD6014" w:rsidRDefault="00CD7B08" w:rsidP="00C24A58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FD601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154</w:t>
            </w:r>
            <w:r w:rsidR="0077355D" w:rsidRPr="00FD601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206B2B" w:rsidRPr="00FD6014" w:rsidRDefault="0077355D" w:rsidP="00CD7B08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FD601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CD7B08" w:rsidRPr="00FD601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16</w:t>
            </w:r>
            <w:r w:rsidRPr="00FD601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152" w:type="dxa"/>
          </w:tcPr>
          <w:p w:rsidR="001D6A77" w:rsidRPr="00E72B6A" w:rsidRDefault="00E72B6A" w:rsidP="001D6A7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1064</w:t>
            </w:r>
          </w:p>
          <w:p w:rsidR="007902F6" w:rsidRPr="00FD6014" w:rsidRDefault="00CD7B08" w:rsidP="006401E1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 w:rsidRPr="00FD601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37</w:t>
            </w:r>
            <w:r w:rsidR="00E72B6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6</w:t>
            </w:r>
          </w:p>
          <w:p w:rsidR="002E65F1" w:rsidRPr="00FD6014" w:rsidRDefault="00E72B6A" w:rsidP="005E0A69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55</w:t>
            </w:r>
            <w:r w:rsidR="002E65F1" w:rsidRPr="00FD601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%</w:t>
            </w:r>
          </w:p>
        </w:tc>
        <w:tc>
          <w:tcPr>
            <w:tcW w:w="1418" w:type="dxa"/>
          </w:tcPr>
          <w:p w:rsidR="007902F6" w:rsidRPr="00FD6014" w:rsidRDefault="00E72B6A" w:rsidP="00574FDE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3050</w:t>
            </w:r>
          </w:p>
          <w:p w:rsidR="007902F6" w:rsidRPr="00FD6014" w:rsidRDefault="00E72B6A" w:rsidP="00367F73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2269</w:t>
            </w:r>
            <w:r w:rsidR="00367F73" w:rsidRPr="00FD601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367F73" w:rsidRPr="00FD6014" w:rsidRDefault="00E72B6A" w:rsidP="008F5947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291</w:t>
            </w:r>
            <w:r w:rsidR="00367F73" w:rsidRPr="00FD601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990" w:type="dxa"/>
          </w:tcPr>
          <w:p w:rsidR="00C53053" w:rsidRPr="00E72B6A" w:rsidRDefault="00E72B6A" w:rsidP="00367F73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1813</w:t>
            </w:r>
          </w:p>
          <w:p w:rsidR="00A303D2" w:rsidRPr="00FD6014" w:rsidRDefault="00E72B6A" w:rsidP="00D240A9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1099</w:t>
            </w:r>
            <w:r w:rsidR="00691E23" w:rsidRPr="00FD601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</w:t>
            </w:r>
            <w:r w:rsidR="00691E23" w:rsidRPr="00FD601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691E23" w:rsidRPr="00FD6014" w:rsidRDefault="00E72B6A" w:rsidP="005E0A69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154</w:t>
            </w:r>
            <w:r w:rsidR="00691E23" w:rsidRPr="00FD601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</w:tr>
      <w:tr w:rsidR="006145C7" w:rsidRPr="006145C7" w:rsidTr="00F14AF0">
        <w:trPr>
          <w:trHeight w:val="937"/>
        </w:trPr>
        <w:tc>
          <w:tcPr>
            <w:tcW w:w="1762" w:type="dxa"/>
          </w:tcPr>
          <w:p w:rsidR="00CA31D1" w:rsidRPr="00FD6014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FD6014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Άνεργοι Αλλοδαποί</w:t>
            </w:r>
          </w:p>
          <w:p w:rsidR="007E455C" w:rsidRPr="00FD6014" w:rsidRDefault="007E455C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FD6014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Μεταβολή</w:t>
            </w:r>
          </w:p>
          <w:p w:rsidR="00CA31D1" w:rsidRPr="00FD6014" w:rsidRDefault="00CA31D1" w:rsidP="00B374D7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FD601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(Πίνακας </w:t>
            </w:r>
            <w:r w:rsidR="007E455C" w:rsidRPr="00FD601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9)</w:t>
            </w:r>
          </w:p>
        </w:tc>
        <w:tc>
          <w:tcPr>
            <w:tcW w:w="1251" w:type="dxa"/>
          </w:tcPr>
          <w:p w:rsidR="00C70D27" w:rsidRPr="00FD6014" w:rsidRDefault="00C630E4" w:rsidP="00C630E4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FD6014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  </w:t>
            </w:r>
            <w:r w:rsidR="00956449" w:rsidRPr="00FD6014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  </w:t>
            </w:r>
            <w:r w:rsidR="00C55AA1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1636</w:t>
            </w:r>
          </w:p>
          <w:p w:rsidR="0046496C" w:rsidRPr="00FD6014" w:rsidRDefault="00C55AA1" w:rsidP="00A31A1E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638</w:t>
            </w:r>
            <w:r w:rsidR="00686EF5" w:rsidRPr="00FD601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</w:t>
            </w:r>
            <w:r w:rsidR="00686EF5" w:rsidRPr="00FD601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686EF5" w:rsidRPr="00FD6014" w:rsidRDefault="00C55AA1" w:rsidP="00A31A1E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64</w:t>
            </w:r>
            <w:r w:rsidR="00686EF5" w:rsidRPr="00FD601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  <w:p w:rsidR="00367F73" w:rsidRPr="00FD6014" w:rsidRDefault="00367F73" w:rsidP="00723F42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234" w:type="dxa"/>
          </w:tcPr>
          <w:p w:rsidR="004824AF" w:rsidRPr="00FD6014" w:rsidRDefault="004824AF" w:rsidP="004824AF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FD6014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      3</w:t>
            </w:r>
            <w:r w:rsidR="00C55AA1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76</w:t>
            </w:r>
          </w:p>
          <w:p w:rsidR="004824AF" w:rsidRPr="00FD6014" w:rsidRDefault="00C55AA1" w:rsidP="004824A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31</w:t>
            </w:r>
            <w:r w:rsidR="004824AF" w:rsidRPr="00FD601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E91198" w:rsidRPr="00FD6014" w:rsidRDefault="00C55AA1" w:rsidP="005E0A69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9</w:t>
            </w:r>
            <w:r w:rsidR="004824AF" w:rsidRPr="00FD601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31" w:type="dxa"/>
          </w:tcPr>
          <w:p w:rsidR="00F43A51" w:rsidRPr="00FD6014" w:rsidRDefault="008D4D7D" w:rsidP="00F43A51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391</w:t>
            </w:r>
          </w:p>
          <w:p w:rsidR="00F35950" w:rsidRPr="00FD6014" w:rsidRDefault="008D4D7D" w:rsidP="00367F73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126</w:t>
            </w:r>
            <w:r w:rsidR="00D345BD" w:rsidRPr="00FD601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D345BD" w:rsidRPr="00FD6014" w:rsidRDefault="008D4D7D" w:rsidP="005E0A69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48</w:t>
            </w:r>
            <w:r w:rsidR="00D345BD" w:rsidRPr="00FD601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152" w:type="dxa"/>
          </w:tcPr>
          <w:p w:rsidR="0077355D" w:rsidRPr="00F747C4" w:rsidRDefault="00F14AF0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FD6014">
              <w:rPr>
                <w:rFonts w:asciiTheme="minorHAnsi" w:hAnsiTheme="minorHAnsi" w:cs="Calibri"/>
                <w:color w:val="auto"/>
                <w:sz w:val="22"/>
                <w:szCs w:val="22"/>
              </w:rPr>
              <w:t>3</w:t>
            </w:r>
            <w:r w:rsidR="00F747C4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30</w:t>
            </w:r>
          </w:p>
          <w:p w:rsidR="00F35950" w:rsidRPr="00FD6014" w:rsidRDefault="00F747C4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144</w:t>
            </w:r>
            <w:r w:rsidR="00F35950" w:rsidRPr="00FD601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F35950" w:rsidRPr="00FD6014" w:rsidRDefault="00F747C4" w:rsidP="00723F42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77</w:t>
            </w:r>
            <w:r w:rsidR="00F35950" w:rsidRPr="00FD601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418" w:type="dxa"/>
          </w:tcPr>
          <w:p w:rsidR="00F43A51" w:rsidRPr="00FD6014" w:rsidRDefault="00FD6014" w:rsidP="00F43A51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FD6014">
              <w:rPr>
                <w:rFonts w:asciiTheme="minorHAnsi" w:hAnsiTheme="minorHAnsi" w:cs="Calibri"/>
                <w:color w:val="auto"/>
                <w:sz w:val="22"/>
                <w:szCs w:val="22"/>
              </w:rPr>
              <w:t>3</w:t>
            </w:r>
            <w:r w:rsidR="00F747C4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39</w:t>
            </w:r>
            <w:r w:rsidR="00F35950" w:rsidRPr="00FD6014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 </w:t>
            </w:r>
          </w:p>
          <w:p w:rsidR="00686EF5" w:rsidRPr="00FD6014" w:rsidRDefault="00F747C4" w:rsidP="00686EF5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236</w:t>
            </w:r>
            <w:r w:rsidR="00686EF5" w:rsidRPr="00FD601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 </w:t>
            </w:r>
          </w:p>
          <w:p w:rsidR="00341FFE" w:rsidRPr="00FD6014" w:rsidRDefault="00FD6014" w:rsidP="00F747C4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FD601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2</w:t>
            </w:r>
            <w:r w:rsidR="00F747C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45</w:t>
            </w:r>
            <w:r w:rsidR="00686EF5" w:rsidRPr="00FD601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990" w:type="dxa"/>
          </w:tcPr>
          <w:p w:rsidR="00F35950" w:rsidRPr="00F747C4" w:rsidRDefault="00F747C4" w:rsidP="00F14AF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204</w:t>
            </w:r>
          </w:p>
          <w:p w:rsidR="00D345BD" w:rsidRPr="00FD6014" w:rsidRDefault="00756B16" w:rsidP="00DF0965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FD601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 </w:t>
            </w:r>
            <w:r w:rsidR="00723F42" w:rsidRPr="00FD601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    </w:t>
            </w:r>
            <w:r w:rsidR="00F747C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99</w:t>
            </w:r>
          </w:p>
          <w:p w:rsidR="00DF0965" w:rsidRPr="00FD6014" w:rsidRDefault="00F747C4" w:rsidP="005E0A69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94</w:t>
            </w:r>
            <w:r w:rsidR="00DF0965" w:rsidRPr="00FD6014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%</w:t>
            </w:r>
          </w:p>
        </w:tc>
      </w:tr>
      <w:tr w:rsidR="005C299A" w:rsidRPr="005C299A" w:rsidTr="00F14AF0">
        <w:trPr>
          <w:trHeight w:val="937"/>
        </w:trPr>
        <w:tc>
          <w:tcPr>
            <w:tcW w:w="1762" w:type="dxa"/>
          </w:tcPr>
          <w:p w:rsidR="00CA31D1" w:rsidRPr="00966A1D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966A1D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Νέες </w:t>
            </w:r>
            <w:r w:rsidR="00C630E4" w:rsidRPr="00966A1D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Κοινοποιη</w:t>
            </w:r>
            <w:r w:rsidRPr="00966A1D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θείσες κενές θέσεις</w:t>
            </w:r>
          </w:p>
          <w:p w:rsidR="007E455C" w:rsidRPr="00966A1D" w:rsidRDefault="00F35950" w:rsidP="00B374D7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966A1D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7E455C" w:rsidRPr="00966A1D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14)</w:t>
            </w:r>
          </w:p>
        </w:tc>
        <w:tc>
          <w:tcPr>
            <w:tcW w:w="1251" w:type="dxa"/>
          </w:tcPr>
          <w:p w:rsidR="00133A83" w:rsidRPr="00411692" w:rsidRDefault="00411692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411692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231</w:t>
            </w:r>
          </w:p>
        </w:tc>
        <w:tc>
          <w:tcPr>
            <w:tcW w:w="1234" w:type="dxa"/>
          </w:tcPr>
          <w:p w:rsidR="00F35950" w:rsidRPr="00411692" w:rsidRDefault="00411692" w:rsidP="00723F4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64</w:t>
            </w:r>
          </w:p>
        </w:tc>
        <w:tc>
          <w:tcPr>
            <w:tcW w:w="1031" w:type="dxa"/>
          </w:tcPr>
          <w:p w:rsidR="00F35950" w:rsidRPr="00411692" w:rsidRDefault="00411692" w:rsidP="00CE3BA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35</w:t>
            </w:r>
          </w:p>
        </w:tc>
        <w:tc>
          <w:tcPr>
            <w:tcW w:w="1152" w:type="dxa"/>
          </w:tcPr>
          <w:p w:rsidR="00F35950" w:rsidRPr="00411692" w:rsidRDefault="00411692" w:rsidP="0045011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33</w:t>
            </w:r>
          </w:p>
        </w:tc>
        <w:tc>
          <w:tcPr>
            <w:tcW w:w="1418" w:type="dxa"/>
          </w:tcPr>
          <w:p w:rsidR="00F35950" w:rsidRPr="00411692" w:rsidRDefault="00411692" w:rsidP="00723F4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7</w:t>
            </w:r>
          </w:p>
        </w:tc>
        <w:tc>
          <w:tcPr>
            <w:tcW w:w="990" w:type="dxa"/>
          </w:tcPr>
          <w:p w:rsidR="00F35950" w:rsidRPr="00411692" w:rsidRDefault="00411692" w:rsidP="00723F4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92</w:t>
            </w:r>
          </w:p>
        </w:tc>
      </w:tr>
      <w:tr w:rsidR="00F14AF0" w:rsidRPr="005C299A" w:rsidTr="00F14AF0">
        <w:trPr>
          <w:trHeight w:val="707"/>
        </w:trPr>
        <w:tc>
          <w:tcPr>
            <w:tcW w:w="1762" w:type="dxa"/>
          </w:tcPr>
          <w:p w:rsidR="00F14AF0" w:rsidRPr="00966A1D" w:rsidRDefault="00F14AF0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966A1D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Ενεργές κενές θέσεις</w:t>
            </w:r>
          </w:p>
          <w:p w:rsidR="00F14AF0" w:rsidRPr="00966A1D" w:rsidRDefault="00F14AF0" w:rsidP="00B374D7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966A1D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15)</w:t>
            </w:r>
          </w:p>
        </w:tc>
        <w:tc>
          <w:tcPr>
            <w:tcW w:w="1251" w:type="dxa"/>
          </w:tcPr>
          <w:p w:rsidR="00F14AF0" w:rsidRPr="00411692" w:rsidRDefault="00411692" w:rsidP="00D2187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8834</w:t>
            </w:r>
          </w:p>
        </w:tc>
        <w:tc>
          <w:tcPr>
            <w:tcW w:w="1234" w:type="dxa"/>
          </w:tcPr>
          <w:p w:rsidR="00F14AF0" w:rsidRPr="00966A1D" w:rsidRDefault="00411692" w:rsidP="00D2187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1992</w:t>
            </w:r>
          </w:p>
        </w:tc>
        <w:tc>
          <w:tcPr>
            <w:tcW w:w="1031" w:type="dxa"/>
          </w:tcPr>
          <w:p w:rsidR="00F14AF0" w:rsidRPr="00966A1D" w:rsidRDefault="00411692" w:rsidP="00966A1D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3151</w:t>
            </w:r>
          </w:p>
        </w:tc>
        <w:tc>
          <w:tcPr>
            <w:tcW w:w="1152" w:type="dxa"/>
          </w:tcPr>
          <w:p w:rsidR="00F14AF0" w:rsidRPr="00411692" w:rsidRDefault="00411692" w:rsidP="001851E1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1572</w:t>
            </w:r>
          </w:p>
        </w:tc>
        <w:tc>
          <w:tcPr>
            <w:tcW w:w="1418" w:type="dxa"/>
          </w:tcPr>
          <w:p w:rsidR="00F14AF0" w:rsidRPr="00411692" w:rsidRDefault="00411692" w:rsidP="001851E1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1290</w:t>
            </w:r>
          </w:p>
        </w:tc>
        <w:tc>
          <w:tcPr>
            <w:tcW w:w="990" w:type="dxa"/>
          </w:tcPr>
          <w:p w:rsidR="00F14AF0" w:rsidRPr="00411692" w:rsidRDefault="00411692" w:rsidP="001851E1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829</w:t>
            </w:r>
          </w:p>
        </w:tc>
      </w:tr>
    </w:tbl>
    <w:p w:rsidR="00645242" w:rsidRPr="005C299A" w:rsidRDefault="00645242" w:rsidP="00B374D7">
      <w:pPr>
        <w:rPr>
          <w:rFonts w:ascii="Calibri" w:hAnsi="Calibri" w:cs="Calibri"/>
          <w:color w:val="auto"/>
          <w:sz w:val="22"/>
          <w:szCs w:val="22"/>
          <w:lang w:val="el-GR"/>
        </w:rPr>
      </w:pPr>
    </w:p>
    <w:p w:rsidR="002D17AB" w:rsidRPr="005046D0" w:rsidRDefault="002D17AB" w:rsidP="00B04C44">
      <w:pPr>
        <w:rPr>
          <w:rFonts w:ascii="Calibri" w:hAnsi="Calibri" w:cs="Calibri"/>
          <w:color w:val="auto"/>
        </w:rPr>
      </w:pPr>
    </w:p>
    <w:p w:rsidR="00764E4A" w:rsidRPr="005046D0" w:rsidRDefault="0093696A" w:rsidP="00B04C44">
      <w:pPr>
        <w:rPr>
          <w:rFonts w:ascii="Calibri" w:hAnsi="Calibri" w:cs="Calibri"/>
          <w:color w:val="auto"/>
          <w:lang w:val="el-GR"/>
        </w:rPr>
      </w:pPr>
      <w:r w:rsidRPr="005046D0">
        <w:rPr>
          <w:rFonts w:ascii="Calibri" w:hAnsi="Calibri" w:cs="Calibri"/>
          <w:color w:val="auto"/>
          <w:lang w:val="el-GR"/>
        </w:rPr>
        <w:t xml:space="preserve">ΣΗΜΕΙΩΣΗ: </w:t>
      </w:r>
      <w:r w:rsidR="00B45922" w:rsidRPr="005046D0">
        <w:rPr>
          <w:rFonts w:ascii="Calibri" w:hAnsi="Calibri" w:cs="Calibri"/>
          <w:color w:val="auto"/>
          <w:lang w:val="el-GR"/>
        </w:rPr>
        <w:t xml:space="preserve">Για πρόσθετη πληροφόρηση υπάρχουν οι συνημμένοι πίνακες στο </w:t>
      </w:r>
      <w:r w:rsidRPr="005046D0">
        <w:rPr>
          <w:rFonts w:ascii="Calibri" w:hAnsi="Calibri" w:cs="Calibri"/>
          <w:color w:val="auto"/>
          <w:lang w:val="el-GR"/>
        </w:rPr>
        <w:t>τέλος της Έκθεσης</w:t>
      </w:r>
      <w:r w:rsidR="00B45922" w:rsidRPr="005046D0">
        <w:rPr>
          <w:rFonts w:ascii="Calibri" w:hAnsi="Calibri" w:cs="Calibri"/>
          <w:color w:val="auto"/>
          <w:lang w:val="el-GR"/>
        </w:rPr>
        <w:t>.</w:t>
      </w:r>
    </w:p>
    <w:p w:rsidR="00E10845" w:rsidRDefault="00E10845">
      <w:pPr>
        <w:rPr>
          <w:rFonts w:ascii="Calibri" w:hAnsi="Calibri" w:cs="Calibri"/>
          <w:bCs w:val="0"/>
          <w:color w:val="auto"/>
          <w:lang w:val="el-GR"/>
        </w:rPr>
      </w:pPr>
      <w:r>
        <w:rPr>
          <w:rFonts w:ascii="Calibri" w:hAnsi="Calibri" w:cs="Calibri"/>
          <w:bCs w:val="0"/>
          <w:color w:val="auto"/>
          <w:lang w:val="el-GR"/>
        </w:rPr>
        <w:br w:type="page"/>
      </w:r>
    </w:p>
    <w:p w:rsidR="00764E4A" w:rsidRPr="00E411AE" w:rsidRDefault="00764E4A" w:rsidP="00B04C44">
      <w:pPr>
        <w:rPr>
          <w:rFonts w:ascii="Calibri" w:hAnsi="Calibri" w:cs="Calibri"/>
          <w:bCs w:val="0"/>
          <w:color w:val="auto"/>
          <w:lang w:val="el-GR"/>
        </w:rPr>
      </w:pPr>
    </w:p>
    <w:p w:rsidR="00B04C44" w:rsidRPr="00E411AE" w:rsidRDefault="00B04C44" w:rsidP="00E27309">
      <w:pPr>
        <w:pBdr>
          <w:top w:val="double" w:sz="4" w:space="8" w:color="auto"/>
          <w:left w:val="double" w:sz="4" w:space="1" w:color="auto"/>
          <w:bottom w:val="double" w:sz="4" w:space="1" w:color="auto"/>
          <w:right w:val="double" w:sz="4" w:space="4" w:color="auto"/>
        </w:pBdr>
        <w:shd w:val="clear" w:color="auto" w:fill="E5B8B7"/>
        <w:spacing w:line="276" w:lineRule="auto"/>
        <w:jc w:val="both"/>
        <w:rPr>
          <w:rFonts w:ascii="Calibri" w:hAnsi="Calibri" w:cs="Calibri"/>
          <w:bCs w:val="0"/>
          <w:color w:val="auto"/>
          <w:lang w:val="el-GR"/>
        </w:rPr>
      </w:pPr>
      <w:r w:rsidRPr="00E411AE">
        <w:rPr>
          <w:rFonts w:ascii="Calibri" w:hAnsi="Calibri" w:cs="Calibri"/>
          <w:bCs w:val="0"/>
          <w:color w:val="auto"/>
          <w:lang w:val="el-GR"/>
        </w:rPr>
        <w:t>ΚΕΦΑΛΑΙΟ ΙΙ:</w:t>
      </w:r>
    </w:p>
    <w:p w:rsidR="00E27309" w:rsidRPr="00E411AE" w:rsidRDefault="00B80600" w:rsidP="00E27309">
      <w:pPr>
        <w:pBdr>
          <w:top w:val="double" w:sz="4" w:space="8" w:color="auto"/>
          <w:left w:val="double" w:sz="4" w:space="1" w:color="auto"/>
          <w:bottom w:val="double" w:sz="4" w:space="1" w:color="auto"/>
          <w:right w:val="double" w:sz="4" w:space="4" w:color="auto"/>
        </w:pBdr>
        <w:shd w:val="clear" w:color="auto" w:fill="E5B8B7"/>
        <w:spacing w:line="276" w:lineRule="auto"/>
        <w:jc w:val="both"/>
        <w:rPr>
          <w:rFonts w:ascii="Calibri" w:hAnsi="Calibri" w:cs="Calibri"/>
          <w:bCs w:val="0"/>
          <w:color w:val="auto"/>
          <w:lang w:val="el-GR"/>
        </w:rPr>
      </w:pPr>
      <w:r w:rsidRPr="00E411AE">
        <w:rPr>
          <w:rFonts w:ascii="Calibri" w:hAnsi="Calibri" w:cs="Calibri"/>
          <w:bCs w:val="0"/>
          <w:color w:val="auto"/>
          <w:lang w:val="el-GR"/>
        </w:rPr>
        <w:t xml:space="preserve">ΠΡΟΦΙΛ ΜΑΚΡΟΧΡΟΝΙΑ ΕΓΓΕΓΡΑΜΜΕΝΩΝ ΑΝΕΡΓΩΝ </w:t>
      </w:r>
      <w:r w:rsidR="00B20282" w:rsidRPr="00E411AE">
        <w:rPr>
          <w:rFonts w:ascii="Calibri" w:hAnsi="Calibri" w:cs="Calibri"/>
          <w:bCs w:val="0"/>
          <w:color w:val="auto"/>
          <w:lang w:val="el-GR"/>
        </w:rPr>
        <w:t>12+,</w:t>
      </w:r>
      <w:r w:rsidRPr="00E411AE">
        <w:rPr>
          <w:rFonts w:ascii="Calibri" w:hAnsi="Calibri" w:cs="Calibri"/>
          <w:bCs w:val="0"/>
          <w:color w:val="auto"/>
          <w:lang w:val="el-GR"/>
        </w:rPr>
        <w:t xml:space="preserve"> </w:t>
      </w:r>
      <w:r w:rsidR="004C4D7D">
        <w:rPr>
          <w:rFonts w:ascii="Calibri" w:hAnsi="Calibri" w:cs="Calibri"/>
          <w:bCs w:val="0"/>
          <w:color w:val="auto"/>
          <w:lang w:val="el-GR"/>
        </w:rPr>
        <w:t>ΑΠΡΙΛΙΟΣ</w:t>
      </w:r>
      <w:r w:rsidR="003374CE">
        <w:rPr>
          <w:rFonts w:ascii="Calibri" w:hAnsi="Calibri" w:cs="Calibri"/>
          <w:bCs w:val="0"/>
          <w:color w:val="auto"/>
          <w:lang w:val="el-GR"/>
        </w:rPr>
        <w:t xml:space="preserve"> 2020</w:t>
      </w:r>
    </w:p>
    <w:p w:rsidR="00B80600" w:rsidRPr="00E411AE" w:rsidRDefault="00B80600" w:rsidP="00E27309">
      <w:pPr>
        <w:pBdr>
          <w:top w:val="double" w:sz="4" w:space="8" w:color="auto"/>
          <w:left w:val="double" w:sz="4" w:space="1" w:color="auto"/>
          <w:bottom w:val="double" w:sz="4" w:space="1" w:color="auto"/>
          <w:right w:val="double" w:sz="4" w:space="4" w:color="auto"/>
        </w:pBdr>
        <w:shd w:val="clear" w:color="auto" w:fill="E5B8B7"/>
        <w:spacing w:line="276" w:lineRule="auto"/>
        <w:jc w:val="both"/>
        <w:rPr>
          <w:rFonts w:ascii="Calibri" w:eastAsia="MS Mincho" w:hAnsi="Calibri" w:cs="Calibri"/>
          <w:color w:val="auto"/>
          <w:sz w:val="8"/>
          <w:szCs w:val="8"/>
          <w:lang w:val="el-GR"/>
        </w:rPr>
      </w:pPr>
    </w:p>
    <w:p w:rsidR="00E27309" w:rsidRPr="00E411AE" w:rsidRDefault="00E27309" w:rsidP="00E27309">
      <w:pPr>
        <w:spacing w:line="276" w:lineRule="auto"/>
        <w:ind w:firstLine="360"/>
        <w:jc w:val="right"/>
        <w:rPr>
          <w:rFonts w:ascii="Calibri" w:eastAsia="MS Mincho" w:hAnsi="Calibri" w:cs="Arial"/>
          <w:bCs w:val="0"/>
          <w:color w:val="auto"/>
          <w:lang w:val="el-GR"/>
        </w:rPr>
      </w:pPr>
    </w:p>
    <w:p w:rsidR="00CE5112" w:rsidRPr="00E411AE" w:rsidRDefault="009024D8" w:rsidP="00FD3640">
      <w:pPr>
        <w:tabs>
          <w:tab w:val="left" w:pos="4770"/>
        </w:tabs>
        <w:spacing w:after="200" w:line="276" w:lineRule="auto"/>
        <w:jc w:val="both"/>
        <w:rPr>
          <w:rFonts w:ascii="Calibri" w:eastAsia="MS Mincho" w:hAnsi="Calibri" w:cs="Arial"/>
          <w:bCs w:val="0"/>
          <w:color w:val="auto"/>
          <w:lang w:val="el-GR"/>
        </w:rPr>
      </w:pPr>
      <w:r w:rsidRPr="00E411AE">
        <w:rPr>
          <w:rFonts w:ascii="Calibri" w:eastAsia="MS Mincho" w:hAnsi="Calibri" w:cs="Arial"/>
          <w:bCs w:val="0"/>
          <w:color w:val="auto"/>
          <w:lang w:val="el-GR"/>
        </w:rPr>
        <w:t>Γενικές Εξελίξεις</w:t>
      </w:r>
      <w:r w:rsidR="00FD3640"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</w:p>
    <w:p w:rsidR="00A25E37" w:rsidRPr="002F33B5" w:rsidRDefault="00A25E37" w:rsidP="00E7707C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2F33B5">
        <w:rPr>
          <w:rFonts w:asciiTheme="minorHAnsi" w:hAnsiTheme="minorHAnsi" w:cs="Arial"/>
          <w:b w:val="0"/>
          <w:color w:val="auto"/>
          <w:lang w:val="el-GR"/>
        </w:rPr>
        <w:t xml:space="preserve">Ο αριθμός των ανέργων που ήταν εγγεγραμμένοι στα γραφεία της </w:t>
      </w:r>
      <w:r w:rsidR="002B1394" w:rsidRPr="002F33B5">
        <w:rPr>
          <w:rFonts w:asciiTheme="minorHAnsi" w:hAnsiTheme="minorHAnsi" w:cs="Arial"/>
          <w:b w:val="0"/>
          <w:color w:val="auto"/>
          <w:lang w:val="el-GR"/>
        </w:rPr>
        <w:t xml:space="preserve">ΔΥΑ για περισσότερο από </w:t>
      </w:r>
      <w:r w:rsidR="00C92DB0" w:rsidRPr="002F33B5">
        <w:rPr>
          <w:rFonts w:asciiTheme="minorHAnsi" w:hAnsiTheme="minorHAnsi" w:cs="Arial"/>
          <w:b w:val="0"/>
          <w:color w:val="auto"/>
          <w:lang w:val="el-GR"/>
        </w:rPr>
        <w:t>12</w:t>
      </w:r>
      <w:r w:rsidR="002B1394" w:rsidRPr="002F33B5">
        <w:rPr>
          <w:rFonts w:asciiTheme="minorHAnsi" w:hAnsiTheme="minorHAnsi" w:cs="Arial"/>
          <w:b w:val="0"/>
          <w:color w:val="auto"/>
          <w:lang w:val="el-GR"/>
        </w:rPr>
        <w:t xml:space="preserve"> μήνες</w:t>
      </w:r>
      <w:r w:rsidR="00945F91" w:rsidRPr="002F33B5">
        <w:rPr>
          <w:rFonts w:asciiTheme="minorHAnsi" w:hAnsiTheme="minorHAnsi" w:cs="Arial"/>
          <w:b w:val="0"/>
          <w:color w:val="auto"/>
          <w:lang w:val="el-GR"/>
        </w:rPr>
        <w:t xml:space="preserve"> τον </w:t>
      </w:r>
      <w:r w:rsidR="008C4D3D" w:rsidRPr="002F33B5">
        <w:rPr>
          <w:rFonts w:asciiTheme="minorHAnsi" w:hAnsiTheme="minorHAnsi" w:cs="Arial"/>
          <w:b w:val="0"/>
          <w:color w:val="auto"/>
          <w:lang w:val="el-GR"/>
        </w:rPr>
        <w:t>Απρίλιο</w:t>
      </w:r>
      <w:r w:rsidR="001D7C87" w:rsidRPr="002F33B5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8C73B5" w:rsidRPr="002F33B5">
        <w:rPr>
          <w:rFonts w:asciiTheme="minorHAnsi" w:hAnsiTheme="minorHAnsi" w:cs="Arial"/>
          <w:b w:val="0"/>
          <w:color w:val="auto"/>
          <w:lang w:val="el-GR"/>
        </w:rPr>
        <w:t>του 20</w:t>
      </w:r>
      <w:r w:rsidR="009352CF" w:rsidRPr="002F33B5">
        <w:rPr>
          <w:rFonts w:asciiTheme="minorHAnsi" w:hAnsiTheme="minorHAnsi" w:cs="Arial"/>
          <w:b w:val="0"/>
          <w:color w:val="auto"/>
          <w:lang w:val="el-GR"/>
        </w:rPr>
        <w:t>20</w:t>
      </w:r>
      <w:r w:rsidR="006D22CB" w:rsidRPr="002F33B5">
        <w:rPr>
          <w:rFonts w:asciiTheme="minorHAnsi" w:hAnsiTheme="minorHAnsi" w:cs="Arial"/>
          <w:b w:val="0"/>
          <w:color w:val="auto"/>
          <w:lang w:val="el-GR"/>
        </w:rPr>
        <w:t xml:space="preserve">, </w:t>
      </w:r>
      <w:r w:rsidRPr="002F33B5">
        <w:rPr>
          <w:rFonts w:asciiTheme="minorHAnsi" w:hAnsiTheme="minorHAnsi" w:cs="Arial"/>
          <w:b w:val="0"/>
          <w:color w:val="auto"/>
          <w:lang w:val="el-GR"/>
        </w:rPr>
        <w:t xml:space="preserve">έφτασε στα </w:t>
      </w:r>
      <w:r w:rsidR="00083DA8" w:rsidRPr="002F33B5">
        <w:rPr>
          <w:rFonts w:asciiTheme="minorHAnsi" w:hAnsiTheme="minorHAnsi" w:cs="Arial"/>
          <w:b w:val="0"/>
          <w:color w:val="auto"/>
          <w:lang w:val="el-GR"/>
        </w:rPr>
        <w:t>3.</w:t>
      </w:r>
      <w:r w:rsidR="008C4D3D" w:rsidRPr="002F33B5">
        <w:rPr>
          <w:rFonts w:asciiTheme="minorHAnsi" w:hAnsiTheme="minorHAnsi" w:cs="Arial"/>
          <w:b w:val="0"/>
          <w:color w:val="auto"/>
          <w:lang w:val="el-GR"/>
        </w:rPr>
        <w:t>615</w:t>
      </w:r>
      <w:r w:rsidRPr="002F33B5">
        <w:rPr>
          <w:rFonts w:asciiTheme="minorHAnsi" w:hAnsiTheme="minorHAnsi" w:cs="Arial"/>
          <w:b w:val="0"/>
          <w:color w:val="auto"/>
          <w:lang w:val="el-GR"/>
        </w:rPr>
        <w:t xml:space="preserve"> άτομα </w:t>
      </w:r>
      <w:r w:rsidR="006D22CB" w:rsidRPr="002F33B5">
        <w:rPr>
          <w:rFonts w:asciiTheme="minorHAnsi" w:hAnsiTheme="minorHAnsi" w:cs="Arial"/>
          <w:b w:val="0"/>
          <w:color w:val="auto"/>
          <w:lang w:val="el-GR"/>
        </w:rPr>
        <w:t xml:space="preserve">σημειώνοντας </w:t>
      </w:r>
      <w:r w:rsidR="003D25C3" w:rsidRPr="002F33B5">
        <w:rPr>
          <w:rFonts w:asciiTheme="minorHAnsi" w:hAnsiTheme="minorHAnsi" w:cs="Arial"/>
          <w:b w:val="0"/>
          <w:color w:val="auto"/>
          <w:lang w:val="el-GR"/>
        </w:rPr>
        <w:t>μείωση</w:t>
      </w:r>
      <w:r w:rsidRPr="002F33B5">
        <w:rPr>
          <w:rFonts w:asciiTheme="minorHAnsi" w:hAnsiTheme="minorHAnsi" w:cs="Arial"/>
          <w:b w:val="0"/>
          <w:color w:val="auto"/>
          <w:lang w:val="el-GR"/>
        </w:rPr>
        <w:t xml:space="preserve"> κατά </w:t>
      </w:r>
      <w:r w:rsidR="00706865" w:rsidRPr="002F33B5">
        <w:rPr>
          <w:rFonts w:asciiTheme="minorHAnsi" w:hAnsiTheme="minorHAnsi" w:cs="Arial"/>
          <w:b w:val="0"/>
          <w:color w:val="auto"/>
          <w:lang w:val="el-GR"/>
        </w:rPr>
        <w:t>1.</w:t>
      </w:r>
      <w:r w:rsidR="00B477B5" w:rsidRPr="002F33B5">
        <w:rPr>
          <w:rFonts w:asciiTheme="minorHAnsi" w:hAnsiTheme="minorHAnsi" w:cs="Arial"/>
          <w:b w:val="0"/>
          <w:color w:val="auto"/>
          <w:lang w:val="el-GR"/>
        </w:rPr>
        <w:t>181</w:t>
      </w:r>
      <w:r w:rsidR="00B0521E" w:rsidRPr="002F33B5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2F33B5">
        <w:rPr>
          <w:rFonts w:asciiTheme="minorHAnsi" w:hAnsiTheme="minorHAnsi" w:cs="Arial"/>
          <w:b w:val="0"/>
          <w:color w:val="auto"/>
          <w:lang w:val="el-GR"/>
        </w:rPr>
        <w:t xml:space="preserve">άτομα ή </w:t>
      </w:r>
      <w:r w:rsidR="00B477B5" w:rsidRPr="002F33B5">
        <w:rPr>
          <w:rFonts w:asciiTheme="minorHAnsi" w:hAnsiTheme="minorHAnsi" w:cs="Arial"/>
          <w:b w:val="0"/>
          <w:color w:val="auto"/>
          <w:lang w:val="el-GR"/>
        </w:rPr>
        <w:t>25</w:t>
      </w:r>
      <w:r w:rsidRPr="002F33B5">
        <w:rPr>
          <w:rFonts w:asciiTheme="minorHAnsi" w:hAnsiTheme="minorHAnsi" w:cs="Arial"/>
          <w:b w:val="0"/>
          <w:color w:val="auto"/>
          <w:lang w:val="el-GR"/>
        </w:rPr>
        <w:t>% σε σχέση με τον ίδιο μήνα πέρσι</w:t>
      </w:r>
      <w:r w:rsidR="006D22CB" w:rsidRPr="002F33B5">
        <w:rPr>
          <w:rFonts w:asciiTheme="minorHAnsi" w:hAnsiTheme="minorHAnsi" w:cs="Arial"/>
          <w:b w:val="0"/>
          <w:color w:val="auto"/>
          <w:lang w:val="el-GR"/>
        </w:rPr>
        <w:t>.</w:t>
      </w:r>
      <w:r w:rsidRPr="002F33B5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6D22CB" w:rsidRPr="002F33B5">
        <w:rPr>
          <w:rFonts w:asciiTheme="minorHAnsi" w:hAnsiTheme="minorHAnsi" w:cs="Arial"/>
          <w:b w:val="0"/>
          <w:color w:val="auto"/>
          <w:lang w:val="el-GR"/>
        </w:rPr>
        <w:t xml:space="preserve">Ο αριθμός αυτός </w:t>
      </w:r>
      <w:r w:rsidRPr="002F33B5">
        <w:rPr>
          <w:rFonts w:asciiTheme="minorHAnsi" w:hAnsiTheme="minorHAnsi" w:cs="Arial"/>
          <w:b w:val="0"/>
          <w:color w:val="auto"/>
          <w:lang w:val="el-GR"/>
        </w:rPr>
        <w:t xml:space="preserve">αντιπροσωπεύει το </w:t>
      </w:r>
      <w:r w:rsidR="005C22F3" w:rsidRPr="002F33B5">
        <w:rPr>
          <w:rFonts w:asciiTheme="minorHAnsi" w:hAnsiTheme="minorHAnsi" w:cs="Arial"/>
          <w:b w:val="0"/>
          <w:color w:val="auto"/>
          <w:lang w:val="el-GR"/>
        </w:rPr>
        <w:t>1</w:t>
      </w:r>
      <w:r w:rsidR="009352CF" w:rsidRPr="002F33B5">
        <w:rPr>
          <w:rFonts w:asciiTheme="minorHAnsi" w:hAnsiTheme="minorHAnsi" w:cs="Arial"/>
          <w:b w:val="0"/>
          <w:color w:val="auto"/>
          <w:lang w:val="el-GR"/>
        </w:rPr>
        <w:t>3</w:t>
      </w:r>
      <w:r w:rsidRPr="002F33B5">
        <w:rPr>
          <w:rFonts w:asciiTheme="minorHAnsi" w:hAnsiTheme="minorHAnsi" w:cs="Arial"/>
          <w:b w:val="0"/>
          <w:color w:val="auto"/>
          <w:lang w:val="el-GR"/>
        </w:rPr>
        <w:t xml:space="preserve">% του συνόλου των εγγεγραμμένων ανέργων. Σε σύγκριση με τον προηγούμενο μήνα </w:t>
      </w:r>
      <w:r w:rsidR="006D22CB" w:rsidRPr="002F33B5">
        <w:rPr>
          <w:rFonts w:asciiTheme="minorHAnsi" w:hAnsiTheme="minorHAnsi" w:cs="Arial"/>
          <w:b w:val="0"/>
          <w:color w:val="auto"/>
          <w:lang w:val="el-GR"/>
        </w:rPr>
        <w:t>ο αριθμός αυτός παρουσίασε</w:t>
      </w:r>
      <w:r w:rsidR="00C62CC5" w:rsidRPr="002F33B5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361720" w:rsidRPr="002F33B5">
        <w:rPr>
          <w:rFonts w:asciiTheme="minorHAnsi" w:hAnsiTheme="minorHAnsi" w:cs="Arial"/>
          <w:b w:val="0"/>
          <w:color w:val="auto"/>
          <w:lang w:val="el-GR"/>
        </w:rPr>
        <w:t>αύξηση</w:t>
      </w:r>
      <w:r w:rsidRPr="002F33B5">
        <w:rPr>
          <w:rFonts w:asciiTheme="minorHAnsi" w:hAnsiTheme="minorHAnsi" w:cs="Arial"/>
          <w:b w:val="0"/>
          <w:color w:val="auto"/>
          <w:lang w:val="el-GR"/>
        </w:rPr>
        <w:t xml:space="preserve"> κατά </w:t>
      </w:r>
      <w:r w:rsidR="00B477B5" w:rsidRPr="002F33B5">
        <w:rPr>
          <w:rFonts w:asciiTheme="minorHAnsi" w:hAnsiTheme="minorHAnsi" w:cs="Arial"/>
          <w:b w:val="0"/>
          <w:color w:val="auto"/>
          <w:lang w:val="el-GR"/>
        </w:rPr>
        <w:t>192</w:t>
      </w:r>
      <w:r w:rsidRPr="002F33B5">
        <w:rPr>
          <w:rFonts w:asciiTheme="minorHAnsi" w:hAnsiTheme="minorHAnsi" w:cs="Arial"/>
          <w:b w:val="0"/>
          <w:color w:val="auto"/>
          <w:lang w:val="el-GR"/>
        </w:rPr>
        <w:t xml:space="preserve"> άτομα [βλέπε πίνακα  </w:t>
      </w:r>
      <w:r w:rsidR="00B20282" w:rsidRPr="002F33B5">
        <w:rPr>
          <w:rFonts w:asciiTheme="minorHAnsi" w:hAnsiTheme="minorHAnsi" w:cs="Arial"/>
          <w:b w:val="0"/>
          <w:color w:val="auto"/>
          <w:lang w:val="el-GR"/>
        </w:rPr>
        <w:t>26</w:t>
      </w:r>
      <w:r w:rsidRPr="002F33B5">
        <w:rPr>
          <w:rFonts w:asciiTheme="minorHAnsi" w:hAnsiTheme="minorHAnsi" w:cs="Arial"/>
          <w:b w:val="0"/>
          <w:color w:val="auto"/>
          <w:lang w:val="el-GR"/>
        </w:rPr>
        <w:t>].</w:t>
      </w:r>
    </w:p>
    <w:p w:rsidR="00A25E37" w:rsidRPr="00205773" w:rsidRDefault="00A25E37" w:rsidP="00E7707C">
      <w:pPr>
        <w:spacing w:line="276" w:lineRule="auto"/>
        <w:jc w:val="both"/>
        <w:rPr>
          <w:rFonts w:asciiTheme="minorHAnsi" w:hAnsiTheme="minorHAnsi" w:cs="Arial"/>
          <w:b w:val="0"/>
          <w:color w:val="FF0000"/>
          <w:lang w:val="el-GR"/>
        </w:rPr>
      </w:pPr>
    </w:p>
    <w:p w:rsidR="00A25E37" w:rsidRPr="00445650" w:rsidRDefault="00A25E37" w:rsidP="00E7707C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Ο αριθμός των ανέργων που ήταν εγγεγραμμένοι στα γραφεία της ΔΥΑ για περισσότερο από </w:t>
      </w:r>
      <w:r w:rsidR="00F77DBF" w:rsidRPr="00445650">
        <w:rPr>
          <w:rFonts w:asciiTheme="minorHAnsi" w:hAnsiTheme="minorHAnsi" w:cs="Arial"/>
          <w:b w:val="0"/>
          <w:color w:val="auto"/>
          <w:lang w:val="el-GR"/>
        </w:rPr>
        <w:t>6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 μήνες</w:t>
      </w:r>
      <w:r w:rsidR="006D22CB" w:rsidRPr="00445650">
        <w:rPr>
          <w:rFonts w:asciiTheme="minorHAnsi" w:hAnsiTheme="minorHAnsi" w:cs="Arial"/>
          <w:b w:val="0"/>
          <w:color w:val="auto"/>
          <w:lang w:val="el-GR"/>
        </w:rPr>
        <w:t xml:space="preserve">, </w:t>
      </w:r>
      <w:r w:rsidR="007C2086" w:rsidRPr="00445650">
        <w:rPr>
          <w:rFonts w:asciiTheme="minorHAnsi" w:hAnsiTheme="minorHAnsi" w:cs="Arial"/>
          <w:b w:val="0"/>
          <w:color w:val="auto"/>
          <w:lang w:val="el-GR"/>
        </w:rPr>
        <w:t xml:space="preserve">έφτασε τα </w:t>
      </w:r>
      <w:r w:rsidR="002F33B5">
        <w:rPr>
          <w:rFonts w:asciiTheme="minorHAnsi" w:hAnsiTheme="minorHAnsi" w:cs="Arial"/>
          <w:b w:val="0"/>
          <w:color w:val="auto"/>
          <w:lang w:val="el-GR"/>
        </w:rPr>
        <w:t>9,204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 άτομα </w:t>
      </w:r>
      <w:r w:rsidR="00E13EBA" w:rsidRPr="00445650">
        <w:rPr>
          <w:rFonts w:asciiTheme="minorHAnsi" w:hAnsiTheme="minorHAnsi" w:cs="Arial"/>
          <w:b w:val="0"/>
          <w:color w:val="auto"/>
          <w:lang w:val="el-GR"/>
        </w:rPr>
        <w:t xml:space="preserve">τον </w:t>
      </w:r>
      <w:r w:rsidR="002F33B5">
        <w:rPr>
          <w:rFonts w:asciiTheme="minorHAnsi" w:hAnsiTheme="minorHAnsi" w:cs="Arial"/>
          <w:b w:val="0"/>
          <w:color w:val="auto"/>
          <w:lang w:val="el-GR"/>
        </w:rPr>
        <w:t>Απρίλιο</w:t>
      </w:r>
      <w:r w:rsidR="009352CF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E13EBA" w:rsidRPr="00445650">
        <w:rPr>
          <w:rFonts w:asciiTheme="minorHAnsi" w:hAnsiTheme="minorHAnsi" w:cs="Arial"/>
          <w:b w:val="0"/>
          <w:color w:val="auto"/>
          <w:lang w:val="el-GR"/>
        </w:rPr>
        <w:t>του 20</w:t>
      </w:r>
      <w:r w:rsidR="009352CF">
        <w:rPr>
          <w:rFonts w:asciiTheme="minorHAnsi" w:hAnsiTheme="minorHAnsi" w:cs="Arial"/>
          <w:b w:val="0"/>
          <w:color w:val="auto"/>
          <w:lang w:val="el-GR"/>
        </w:rPr>
        <w:t>20</w:t>
      </w:r>
      <w:r w:rsidR="00E13EBA" w:rsidRPr="00445650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2F33B5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σημειώνοντας αύξηση </w:t>
      </w:r>
      <w:r w:rsidR="002F33B5">
        <w:rPr>
          <w:rFonts w:asciiTheme="minorHAnsi" w:hAnsiTheme="minorHAnsi" w:cs="Arial"/>
          <w:b w:val="0"/>
          <w:color w:val="auto"/>
          <w:lang w:val="el-GR"/>
        </w:rPr>
        <w:t xml:space="preserve">κατά 547 </w:t>
      </w:r>
      <w:r w:rsidR="00824C1B" w:rsidRPr="00445650">
        <w:rPr>
          <w:rFonts w:asciiTheme="minorHAnsi" w:hAnsiTheme="minorHAnsi" w:cs="Arial"/>
          <w:b w:val="0"/>
          <w:color w:val="auto"/>
          <w:lang w:val="el-GR"/>
        </w:rPr>
        <w:t xml:space="preserve">άτομα ή </w:t>
      </w:r>
      <w:r w:rsidR="002F33B5">
        <w:rPr>
          <w:rFonts w:asciiTheme="minorHAnsi" w:hAnsiTheme="minorHAnsi" w:cs="Arial"/>
          <w:b w:val="0"/>
          <w:color w:val="auto"/>
          <w:lang w:val="el-GR"/>
        </w:rPr>
        <w:t>6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>% σε σχέση με τον ίδιο μήνα πέρσι</w:t>
      </w:r>
      <w:r w:rsidR="006D22CB" w:rsidRPr="00445650">
        <w:rPr>
          <w:rFonts w:asciiTheme="minorHAnsi" w:hAnsiTheme="minorHAnsi" w:cs="Arial"/>
          <w:b w:val="0"/>
          <w:color w:val="auto"/>
          <w:lang w:val="el-GR"/>
        </w:rPr>
        <w:t xml:space="preserve">. </w:t>
      </w:r>
      <w:r w:rsidR="006D22CB" w:rsidRPr="00445650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Ο αριθμός αυτός </w:t>
      </w:r>
      <w:r w:rsidR="00824C1B" w:rsidRPr="00445650">
        <w:rPr>
          <w:rFonts w:asciiTheme="minorHAnsi" w:hAnsiTheme="minorHAnsi" w:cs="Arial"/>
          <w:b w:val="0"/>
          <w:color w:val="auto"/>
          <w:lang w:val="el-GR"/>
        </w:rPr>
        <w:t xml:space="preserve">αντιπροσωπεύει το </w:t>
      </w:r>
      <w:r w:rsidR="002F33B5">
        <w:rPr>
          <w:rFonts w:asciiTheme="minorHAnsi" w:hAnsiTheme="minorHAnsi" w:cs="Arial"/>
          <w:b w:val="0"/>
          <w:color w:val="auto"/>
          <w:lang w:val="el-GR"/>
        </w:rPr>
        <w:t>32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% του συνόλου των εγγεγραμμένων ανέργων. Σε σύγκριση με τον προηγούμενο μήνα </w:t>
      </w:r>
      <w:r w:rsidR="006D22CB" w:rsidRPr="00445650">
        <w:rPr>
          <w:rFonts w:ascii="Calibri" w:eastAsia="MS Mincho" w:hAnsi="Calibri" w:cs="Arial"/>
          <w:b w:val="0"/>
          <w:bCs w:val="0"/>
          <w:color w:val="auto"/>
          <w:lang w:val="el-GR"/>
        </w:rPr>
        <w:t>ο αριθμός αυτός παρουσίασε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361720">
        <w:rPr>
          <w:rFonts w:asciiTheme="minorHAnsi" w:hAnsiTheme="minorHAnsi" w:cs="Arial"/>
          <w:b w:val="0"/>
          <w:color w:val="auto"/>
          <w:lang w:val="el-GR"/>
        </w:rPr>
        <w:t>αύξηση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 κατά </w:t>
      </w:r>
      <w:r w:rsidR="002F33B5">
        <w:rPr>
          <w:rFonts w:asciiTheme="minorHAnsi" w:hAnsiTheme="minorHAnsi" w:cs="Arial"/>
          <w:b w:val="0"/>
          <w:color w:val="auto"/>
          <w:lang w:val="el-GR"/>
        </w:rPr>
        <w:t xml:space="preserve">2.310 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>άτομα</w:t>
      </w:r>
      <w:r w:rsidR="002B1394" w:rsidRPr="00445650">
        <w:rPr>
          <w:rFonts w:asciiTheme="minorHAnsi" w:hAnsiTheme="minorHAnsi" w:cs="Arial"/>
          <w:b w:val="0"/>
          <w:color w:val="auto"/>
          <w:lang w:val="el-GR"/>
        </w:rPr>
        <w:t xml:space="preserve"> ή </w:t>
      </w:r>
      <w:r w:rsidR="002F33B5">
        <w:rPr>
          <w:rFonts w:asciiTheme="minorHAnsi" w:hAnsiTheme="minorHAnsi" w:cs="Arial"/>
          <w:b w:val="0"/>
          <w:color w:val="auto"/>
          <w:lang w:val="el-GR"/>
        </w:rPr>
        <w:t>25</w:t>
      </w:r>
      <w:r w:rsidR="002B1394" w:rsidRPr="00445650">
        <w:rPr>
          <w:rFonts w:asciiTheme="minorHAnsi" w:hAnsiTheme="minorHAnsi" w:cs="Arial"/>
          <w:b w:val="0"/>
          <w:color w:val="auto"/>
          <w:lang w:val="el-GR"/>
        </w:rPr>
        <w:t>%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 [βλέπε πίνακα  </w:t>
      </w:r>
      <w:r w:rsidR="00B20282" w:rsidRPr="00445650">
        <w:rPr>
          <w:rFonts w:asciiTheme="minorHAnsi" w:hAnsiTheme="minorHAnsi" w:cs="Arial"/>
          <w:b w:val="0"/>
          <w:color w:val="auto"/>
          <w:lang w:val="el-GR"/>
        </w:rPr>
        <w:t>26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]. </w:t>
      </w:r>
    </w:p>
    <w:p w:rsidR="00A25E37" w:rsidRPr="00445650" w:rsidRDefault="00A25E37" w:rsidP="00E7707C">
      <w:pPr>
        <w:spacing w:after="200" w:line="276" w:lineRule="auto"/>
        <w:jc w:val="both"/>
        <w:rPr>
          <w:rFonts w:ascii="Calibri" w:eastAsia="MS Mincho" w:hAnsi="Calibri" w:cs="Arial"/>
          <w:b w:val="0"/>
          <w:bCs w:val="0"/>
          <w:color w:val="auto"/>
          <w:lang w:val="el-GR"/>
        </w:rPr>
      </w:pPr>
    </w:p>
    <w:p w:rsidR="00CE5112" w:rsidRPr="00445650" w:rsidRDefault="009024D8" w:rsidP="00E7707C">
      <w:pPr>
        <w:spacing w:line="276" w:lineRule="auto"/>
        <w:jc w:val="both"/>
        <w:rPr>
          <w:rFonts w:ascii="Calibri" w:eastAsia="MS Mincho" w:hAnsi="Calibri" w:cs="Arial"/>
          <w:bCs w:val="0"/>
          <w:color w:val="auto"/>
          <w:lang w:val="el-GR"/>
        </w:rPr>
      </w:pPr>
      <w:r w:rsidRPr="00445650">
        <w:rPr>
          <w:rFonts w:ascii="Calibri" w:eastAsia="MS Mincho" w:hAnsi="Calibri" w:cs="Arial"/>
          <w:bCs w:val="0"/>
          <w:color w:val="auto"/>
          <w:lang w:val="el-GR"/>
        </w:rPr>
        <w:t>Ανάλυση Στοιχείων Μακροχρόνια Ανέργων</w:t>
      </w:r>
      <w:r w:rsidR="00DA4CC6" w:rsidRPr="00445650">
        <w:rPr>
          <w:rFonts w:ascii="Calibri" w:eastAsia="MS Mincho" w:hAnsi="Calibri" w:cs="Arial"/>
          <w:bCs w:val="0"/>
          <w:color w:val="auto"/>
          <w:lang w:val="el-GR"/>
        </w:rPr>
        <w:t xml:space="preserve"> </w:t>
      </w:r>
      <w:r w:rsidR="00404433" w:rsidRPr="00445650">
        <w:rPr>
          <w:rFonts w:ascii="Calibri" w:eastAsia="MS Mincho" w:hAnsi="Calibri" w:cs="Arial"/>
          <w:bCs w:val="0"/>
          <w:color w:val="auto"/>
          <w:lang w:val="el-GR"/>
        </w:rPr>
        <w:t>12</w:t>
      </w:r>
      <w:r w:rsidR="00DA4CC6" w:rsidRPr="00445650">
        <w:rPr>
          <w:rFonts w:ascii="Calibri" w:eastAsia="MS Mincho" w:hAnsi="Calibri" w:cs="Arial"/>
          <w:bCs w:val="0"/>
          <w:color w:val="auto"/>
          <w:lang w:val="el-GR"/>
        </w:rPr>
        <w:t>+</w:t>
      </w:r>
    </w:p>
    <w:p w:rsidR="009024D8" w:rsidRPr="00445650" w:rsidRDefault="009024D8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color w:val="auto"/>
          <w:lang w:val="el-GR"/>
        </w:rPr>
      </w:pPr>
    </w:p>
    <w:p w:rsidR="00E27309" w:rsidRPr="00445650" w:rsidRDefault="00E27309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color w:val="auto"/>
          <w:lang w:val="el-GR"/>
        </w:rPr>
      </w:pPr>
      <w:r w:rsidRPr="00445650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Η πλειοψηφία των μακροχρόνια ανέργων </w:t>
      </w:r>
      <w:r w:rsidR="00CE5112" w:rsidRPr="00445650">
        <w:rPr>
          <w:rFonts w:ascii="Calibri" w:eastAsia="MS Mincho" w:hAnsi="Calibri" w:cs="Arial"/>
          <w:b w:val="0"/>
          <w:bCs w:val="0"/>
          <w:color w:val="auto"/>
          <w:lang w:val="el-GR"/>
        </w:rPr>
        <w:t>(με</w:t>
      </w:r>
      <w:r w:rsidR="009927FB" w:rsidRPr="00445650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διάρκεια</w:t>
      </w:r>
      <w:r w:rsidR="00CE5112" w:rsidRPr="00445650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άνω των </w:t>
      </w:r>
      <w:r w:rsidR="00404433" w:rsidRPr="00445650">
        <w:rPr>
          <w:rFonts w:ascii="Calibri" w:eastAsia="MS Mincho" w:hAnsi="Calibri" w:cs="Arial"/>
          <w:b w:val="0"/>
          <w:bCs w:val="0"/>
          <w:color w:val="auto"/>
          <w:lang w:val="el-GR"/>
        </w:rPr>
        <w:t>12</w:t>
      </w:r>
      <w:r w:rsidR="00CE5112" w:rsidRPr="00445650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μηνών) </w:t>
      </w:r>
      <w:r w:rsidRPr="00445650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συγκεντρώνεται στην </w:t>
      </w:r>
      <w:r w:rsidRPr="00445650">
        <w:rPr>
          <w:rFonts w:ascii="Calibri" w:eastAsia="MS Mincho" w:hAnsi="Calibri" w:cs="Arial"/>
          <w:bCs w:val="0"/>
          <w:color w:val="auto"/>
          <w:lang w:val="el-GR"/>
        </w:rPr>
        <w:t>επαρχία</w:t>
      </w:r>
      <w:r w:rsidR="00003C1F" w:rsidRPr="00445650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Λευκωσίας </w:t>
      </w:r>
      <w:r w:rsidR="00EF2416" w:rsidRPr="00445650">
        <w:rPr>
          <w:rFonts w:ascii="Calibri" w:eastAsia="MS Mincho" w:hAnsi="Calibri" w:cs="Arial"/>
          <w:b w:val="0"/>
          <w:bCs w:val="0"/>
          <w:color w:val="auto"/>
          <w:lang w:val="el-GR"/>
        </w:rPr>
        <w:t>4</w:t>
      </w:r>
      <w:r w:rsidR="001F4408">
        <w:rPr>
          <w:rFonts w:ascii="Calibri" w:eastAsia="MS Mincho" w:hAnsi="Calibri" w:cs="Arial"/>
          <w:b w:val="0"/>
          <w:bCs w:val="0"/>
          <w:color w:val="auto"/>
          <w:lang w:val="el-GR"/>
        </w:rPr>
        <w:t>5</w:t>
      </w:r>
      <w:r w:rsidRPr="00445650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%, </w:t>
      </w:r>
      <w:r w:rsidR="00003C1F" w:rsidRPr="00445650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ακολουθούν οι επαρχίες Λεμεσού </w:t>
      </w:r>
      <w:r w:rsidR="001F4408">
        <w:rPr>
          <w:rFonts w:ascii="Calibri" w:eastAsia="MS Mincho" w:hAnsi="Calibri" w:cs="Arial"/>
          <w:b w:val="0"/>
          <w:bCs w:val="0"/>
          <w:color w:val="auto"/>
          <w:lang w:val="el-GR"/>
        </w:rPr>
        <w:t>29</w:t>
      </w:r>
      <w:r w:rsidR="00865F84" w:rsidRPr="00445650">
        <w:rPr>
          <w:rFonts w:ascii="Calibri" w:eastAsia="MS Mincho" w:hAnsi="Calibri" w:cs="Arial"/>
          <w:b w:val="0"/>
          <w:bCs w:val="0"/>
          <w:color w:val="auto"/>
          <w:lang w:val="el-GR"/>
        </w:rPr>
        <w:t>%, Λάρνακας 1</w:t>
      </w:r>
      <w:r w:rsidR="00472C7D">
        <w:rPr>
          <w:rFonts w:ascii="Calibri" w:eastAsia="MS Mincho" w:hAnsi="Calibri" w:cs="Arial"/>
          <w:b w:val="0"/>
          <w:bCs w:val="0"/>
          <w:color w:val="auto"/>
          <w:lang w:val="el-GR"/>
        </w:rPr>
        <w:t>3</w:t>
      </w:r>
      <w:r w:rsidRPr="00445650">
        <w:rPr>
          <w:rFonts w:ascii="Calibri" w:eastAsia="MS Mincho" w:hAnsi="Calibri" w:cs="Arial"/>
          <w:b w:val="0"/>
          <w:bCs w:val="0"/>
          <w:color w:val="auto"/>
          <w:lang w:val="el-GR"/>
        </w:rPr>
        <w:t>%, Πάφο</w:t>
      </w:r>
      <w:r w:rsidR="001F4408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υ </w:t>
      </w:r>
      <w:r w:rsidR="00125F54">
        <w:rPr>
          <w:rFonts w:ascii="Calibri" w:eastAsia="MS Mincho" w:hAnsi="Calibri" w:cs="Arial"/>
          <w:b w:val="0"/>
          <w:bCs w:val="0"/>
          <w:color w:val="auto"/>
          <w:lang w:val="el-GR"/>
        </w:rPr>
        <w:t>1</w:t>
      </w:r>
      <w:r w:rsidR="001F4408">
        <w:rPr>
          <w:rFonts w:ascii="Calibri" w:eastAsia="MS Mincho" w:hAnsi="Calibri" w:cs="Arial"/>
          <w:b w:val="0"/>
          <w:bCs w:val="0"/>
          <w:color w:val="auto"/>
          <w:lang w:val="el-GR"/>
        </w:rPr>
        <w:t>2</w:t>
      </w:r>
      <w:r w:rsidR="009024D8" w:rsidRPr="00445650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% και Αμμοχώστου </w:t>
      </w:r>
      <w:r w:rsidR="001F4408">
        <w:rPr>
          <w:rFonts w:ascii="Calibri" w:eastAsia="MS Mincho" w:hAnsi="Calibri" w:cs="Arial"/>
          <w:b w:val="0"/>
          <w:bCs w:val="0"/>
          <w:color w:val="auto"/>
          <w:lang w:val="el-GR"/>
        </w:rPr>
        <w:t>1</w:t>
      </w:r>
      <w:r w:rsidR="009024D8" w:rsidRPr="00445650">
        <w:rPr>
          <w:rFonts w:ascii="Calibri" w:eastAsia="MS Mincho" w:hAnsi="Calibri" w:cs="Arial"/>
          <w:b w:val="0"/>
          <w:bCs w:val="0"/>
          <w:color w:val="auto"/>
          <w:lang w:val="el-GR"/>
        </w:rPr>
        <w:t>% [Π</w:t>
      </w:r>
      <w:r w:rsidRPr="00445650">
        <w:rPr>
          <w:rFonts w:ascii="Calibri" w:eastAsia="MS Mincho" w:hAnsi="Calibri" w:cs="Arial"/>
          <w:b w:val="0"/>
          <w:bCs w:val="0"/>
          <w:color w:val="auto"/>
          <w:lang w:val="el-GR"/>
        </w:rPr>
        <w:t>ίνακα</w:t>
      </w:r>
      <w:r w:rsidR="009024D8" w:rsidRPr="00445650">
        <w:rPr>
          <w:rFonts w:ascii="Calibri" w:eastAsia="MS Mincho" w:hAnsi="Calibri" w:cs="Arial"/>
          <w:b w:val="0"/>
          <w:bCs w:val="0"/>
          <w:color w:val="auto"/>
          <w:lang w:val="el-GR"/>
        </w:rPr>
        <w:t>ς</w:t>
      </w:r>
      <w:r w:rsidRPr="00445650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</w:t>
      </w:r>
      <w:r w:rsidR="00B20282" w:rsidRPr="00445650">
        <w:rPr>
          <w:rFonts w:ascii="Calibri" w:eastAsia="MS Mincho" w:hAnsi="Calibri" w:cs="Arial"/>
          <w:b w:val="0"/>
          <w:bCs w:val="0"/>
          <w:color w:val="auto"/>
          <w:lang w:val="el-GR"/>
        </w:rPr>
        <w:t>27</w:t>
      </w:r>
      <w:r w:rsidRPr="00445650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]. </w:t>
      </w:r>
    </w:p>
    <w:p w:rsidR="00E7707C" w:rsidRPr="00445650" w:rsidRDefault="00E7707C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color w:val="auto"/>
          <w:lang w:val="el-GR"/>
        </w:rPr>
      </w:pPr>
    </w:p>
    <w:p w:rsidR="00E7707C" w:rsidRPr="00445650" w:rsidRDefault="00E7707C" w:rsidP="006A42F3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Οι </w:t>
      </w:r>
      <w:r w:rsidRPr="00445650">
        <w:rPr>
          <w:rFonts w:asciiTheme="minorHAnsi" w:hAnsiTheme="minorHAnsi" w:cs="Arial"/>
          <w:color w:val="auto"/>
          <w:lang w:val="el-GR"/>
        </w:rPr>
        <w:t>επαγγελματικές κατηγορίες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 που παρουσιάζουν τη μεγαλύτερη συγκέντρωση των  μακροχρόνια ανέργων είναι </w:t>
      </w:r>
      <w:r w:rsidR="008F54C4" w:rsidRPr="00445650">
        <w:rPr>
          <w:rFonts w:asciiTheme="minorHAnsi" w:hAnsiTheme="minorHAnsi" w:cs="Arial"/>
          <w:b w:val="0"/>
          <w:color w:val="auto"/>
          <w:lang w:val="el-GR"/>
        </w:rPr>
        <w:t>οι υπάλληλοι γραφείου (</w:t>
      </w:r>
      <w:r w:rsidR="00C838B4">
        <w:rPr>
          <w:rFonts w:asciiTheme="minorHAnsi" w:hAnsiTheme="minorHAnsi" w:cs="Arial"/>
          <w:b w:val="0"/>
          <w:color w:val="auto"/>
          <w:lang w:val="el-GR"/>
        </w:rPr>
        <w:t>749</w:t>
      </w:r>
      <w:r w:rsidR="008F54C4" w:rsidRPr="00445650">
        <w:rPr>
          <w:rFonts w:asciiTheme="minorHAnsi" w:hAnsiTheme="minorHAnsi" w:cs="Arial"/>
          <w:b w:val="0"/>
          <w:color w:val="auto"/>
          <w:lang w:val="el-GR"/>
        </w:rPr>
        <w:t xml:space="preserve"> άτομα), 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>οι ανειδίκευτοι εργάτες (</w:t>
      </w:r>
      <w:r w:rsidR="00706865">
        <w:rPr>
          <w:rFonts w:asciiTheme="minorHAnsi" w:hAnsiTheme="minorHAnsi" w:cs="Arial"/>
          <w:b w:val="0"/>
          <w:color w:val="auto"/>
          <w:lang w:val="el-GR"/>
        </w:rPr>
        <w:t>6</w:t>
      </w:r>
      <w:r w:rsidR="00C838B4">
        <w:rPr>
          <w:rFonts w:asciiTheme="minorHAnsi" w:hAnsiTheme="minorHAnsi" w:cs="Arial"/>
          <w:b w:val="0"/>
          <w:color w:val="auto"/>
          <w:lang w:val="el-GR"/>
        </w:rPr>
        <w:t>86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 άτομα)</w:t>
      </w:r>
      <w:r w:rsidR="00824C1B" w:rsidRPr="00445650">
        <w:rPr>
          <w:rFonts w:asciiTheme="minorHAnsi" w:hAnsiTheme="minorHAnsi" w:cs="Arial"/>
          <w:b w:val="0"/>
          <w:color w:val="auto"/>
          <w:lang w:val="el-GR"/>
        </w:rPr>
        <w:t>,</w:t>
      </w:r>
      <w:r w:rsidR="00077E1E" w:rsidRPr="00445650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824C1B" w:rsidRPr="00445650">
        <w:rPr>
          <w:rFonts w:asciiTheme="minorHAnsi" w:hAnsiTheme="minorHAnsi" w:cs="Arial"/>
          <w:b w:val="0"/>
          <w:color w:val="auto"/>
          <w:lang w:val="el-GR"/>
        </w:rPr>
        <w:t xml:space="preserve">οι </w:t>
      </w:r>
      <w:r w:rsidR="00BA3211" w:rsidRPr="00445650">
        <w:rPr>
          <w:rFonts w:asciiTheme="minorHAnsi" w:hAnsiTheme="minorHAnsi" w:cs="Arial"/>
          <w:b w:val="0"/>
          <w:color w:val="auto"/>
          <w:lang w:val="el-GR"/>
        </w:rPr>
        <w:t>απασχολούμενοι στην παροχή υπηρεσιών και πωλητές</w:t>
      </w:r>
      <w:r w:rsidR="00824C1B" w:rsidRPr="00445650">
        <w:rPr>
          <w:rFonts w:asciiTheme="minorHAnsi" w:hAnsiTheme="minorHAnsi" w:cs="Arial"/>
          <w:b w:val="0"/>
          <w:color w:val="auto"/>
          <w:lang w:val="el-GR"/>
        </w:rPr>
        <w:t xml:space="preserve"> (</w:t>
      </w:r>
      <w:r w:rsidR="00C838B4">
        <w:rPr>
          <w:rFonts w:asciiTheme="minorHAnsi" w:hAnsiTheme="minorHAnsi" w:cs="Arial"/>
          <w:b w:val="0"/>
          <w:color w:val="auto"/>
          <w:lang w:val="el-GR"/>
        </w:rPr>
        <w:t>629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 άτομα)</w:t>
      </w:r>
      <w:r w:rsidR="00523DC1" w:rsidRPr="00445650">
        <w:rPr>
          <w:rFonts w:asciiTheme="minorHAnsi" w:hAnsiTheme="minorHAnsi" w:cs="Arial"/>
          <w:b w:val="0"/>
          <w:color w:val="auto"/>
          <w:lang w:val="el-GR"/>
        </w:rPr>
        <w:t xml:space="preserve">, </w:t>
      </w:r>
      <w:r w:rsidR="00077E1E" w:rsidRPr="00445650">
        <w:rPr>
          <w:rFonts w:asciiTheme="minorHAnsi" w:hAnsiTheme="minorHAnsi" w:cs="Arial"/>
          <w:b w:val="0"/>
          <w:color w:val="auto"/>
          <w:lang w:val="el-GR"/>
        </w:rPr>
        <w:t>και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 οι νεοεισερχόμενοι (</w:t>
      </w:r>
      <w:r w:rsidR="00C838B4">
        <w:rPr>
          <w:rFonts w:asciiTheme="minorHAnsi" w:hAnsiTheme="minorHAnsi" w:cs="Arial"/>
          <w:b w:val="0"/>
          <w:color w:val="auto"/>
          <w:lang w:val="el-GR"/>
        </w:rPr>
        <w:t>508</w:t>
      </w:r>
      <w:r w:rsidR="004D55DE" w:rsidRPr="00445650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>άτομα)</w:t>
      </w:r>
      <w:r w:rsidR="00404433" w:rsidRPr="00445650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[βλέπε πίνακα </w:t>
      </w:r>
      <w:r w:rsidR="00B20282" w:rsidRPr="00445650">
        <w:rPr>
          <w:rFonts w:asciiTheme="minorHAnsi" w:hAnsiTheme="minorHAnsi" w:cs="Arial"/>
          <w:b w:val="0"/>
          <w:color w:val="auto"/>
          <w:lang w:val="el-GR"/>
        </w:rPr>
        <w:t>28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].  </w:t>
      </w:r>
    </w:p>
    <w:p w:rsidR="00E27309" w:rsidRPr="00B050C6" w:rsidRDefault="00E27309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noProof/>
          <w:color w:val="FF0000"/>
          <w:lang w:val="el-GR"/>
        </w:rPr>
      </w:pPr>
    </w:p>
    <w:p w:rsidR="006A42F3" w:rsidRPr="00445650" w:rsidRDefault="006A42F3" w:rsidP="006A42F3">
      <w:pPr>
        <w:spacing w:line="276" w:lineRule="auto"/>
        <w:jc w:val="both"/>
        <w:rPr>
          <w:rFonts w:asciiTheme="minorHAnsi" w:hAnsiTheme="minorHAnsi" w:cs="Arial"/>
          <w:b w:val="0"/>
          <w:noProof/>
          <w:color w:val="auto"/>
          <w:lang w:val="el-GR"/>
        </w:rPr>
      </w:pPr>
      <w:r w:rsidRPr="00445650">
        <w:rPr>
          <w:rFonts w:asciiTheme="minorHAnsi" w:hAnsiTheme="minorHAnsi" w:cs="Arial"/>
          <w:b w:val="0"/>
          <w:noProof/>
          <w:color w:val="auto"/>
          <w:lang w:val="el-GR"/>
        </w:rPr>
        <w:t xml:space="preserve">Όσον αφορά την </w:t>
      </w:r>
      <w:r w:rsidRPr="00445650">
        <w:rPr>
          <w:rFonts w:asciiTheme="minorHAnsi" w:hAnsiTheme="minorHAnsi" w:cs="Arial"/>
          <w:noProof/>
          <w:color w:val="auto"/>
          <w:lang w:val="el-GR"/>
        </w:rPr>
        <w:t>οικονομική δραστηριότητα</w:t>
      </w:r>
      <w:r w:rsidRPr="00445650">
        <w:rPr>
          <w:rFonts w:asciiTheme="minorHAnsi" w:hAnsiTheme="minorHAnsi" w:cs="Arial"/>
          <w:b w:val="0"/>
          <w:noProof/>
          <w:color w:val="auto"/>
          <w:lang w:val="el-GR"/>
        </w:rPr>
        <w:t>, το μεγαλύτερο μερίδιο των μακροχρόνια ανέργων συγκεντρώνεται στον τομέα των υπηρεσιών (</w:t>
      </w:r>
      <w:r w:rsidR="000E4734">
        <w:rPr>
          <w:rFonts w:asciiTheme="minorHAnsi" w:hAnsiTheme="minorHAnsi" w:cs="Arial"/>
          <w:b w:val="0"/>
          <w:noProof/>
          <w:color w:val="auto"/>
          <w:lang w:val="el-GR"/>
        </w:rPr>
        <w:t>931</w:t>
      </w:r>
      <w:r w:rsidR="001737AF" w:rsidRPr="00445650">
        <w:rPr>
          <w:rFonts w:asciiTheme="minorHAnsi" w:hAnsiTheme="minorHAnsi" w:cs="Arial"/>
          <w:b w:val="0"/>
          <w:noProof/>
          <w:color w:val="auto"/>
          <w:lang w:val="el-GR"/>
        </w:rPr>
        <w:t xml:space="preserve"> </w:t>
      </w:r>
      <w:r w:rsidRPr="00445650">
        <w:rPr>
          <w:rFonts w:asciiTheme="minorHAnsi" w:hAnsiTheme="minorHAnsi" w:cs="Arial"/>
          <w:b w:val="0"/>
          <w:noProof/>
          <w:color w:val="auto"/>
          <w:lang w:val="el-GR"/>
        </w:rPr>
        <w:t xml:space="preserve">άτομα ή </w:t>
      </w:r>
      <w:r w:rsidR="000E4734">
        <w:rPr>
          <w:rFonts w:asciiTheme="minorHAnsi" w:hAnsiTheme="minorHAnsi" w:cs="Arial"/>
          <w:b w:val="0"/>
          <w:noProof/>
          <w:color w:val="auto"/>
          <w:lang w:val="el-GR"/>
        </w:rPr>
        <w:t>5</w:t>
      </w:r>
      <w:r w:rsidRPr="00445650">
        <w:rPr>
          <w:rFonts w:asciiTheme="minorHAnsi" w:hAnsiTheme="minorHAnsi" w:cs="Arial"/>
          <w:b w:val="0"/>
          <w:noProof/>
          <w:color w:val="auto"/>
          <w:lang w:val="el-GR"/>
        </w:rPr>
        <w:t>%). Ακολου</w:t>
      </w:r>
      <w:r w:rsidR="001737AF" w:rsidRPr="00445650">
        <w:rPr>
          <w:rFonts w:asciiTheme="minorHAnsi" w:hAnsiTheme="minorHAnsi" w:cs="Arial"/>
          <w:b w:val="0"/>
          <w:noProof/>
          <w:color w:val="auto"/>
          <w:lang w:val="el-GR"/>
        </w:rPr>
        <w:t>θούν οι τομείς του εμπορίου (</w:t>
      </w:r>
      <w:r w:rsidR="000E4734">
        <w:rPr>
          <w:rFonts w:asciiTheme="minorHAnsi" w:hAnsiTheme="minorHAnsi" w:cs="Arial"/>
          <w:b w:val="0"/>
          <w:noProof/>
          <w:color w:val="auto"/>
          <w:lang w:val="el-GR"/>
        </w:rPr>
        <w:t>728</w:t>
      </w:r>
      <w:r w:rsidRPr="00445650">
        <w:rPr>
          <w:rFonts w:asciiTheme="minorHAnsi" w:hAnsiTheme="minorHAnsi" w:cs="Arial"/>
          <w:b w:val="0"/>
          <w:noProof/>
          <w:color w:val="auto"/>
          <w:lang w:val="el-GR"/>
        </w:rPr>
        <w:t xml:space="preserve"> άτομα ή </w:t>
      </w:r>
      <w:r w:rsidR="000E4734">
        <w:rPr>
          <w:rFonts w:asciiTheme="minorHAnsi" w:hAnsiTheme="minorHAnsi" w:cs="Arial"/>
          <w:b w:val="0"/>
          <w:noProof/>
          <w:color w:val="auto"/>
          <w:lang w:val="el-GR"/>
        </w:rPr>
        <w:t>8</w:t>
      </w:r>
      <w:r w:rsidRPr="00445650">
        <w:rPr>
          <w:rFonts w:asciiTheme="minorHAnsi" w:hAnsiTheme="minorHAnsi" w:cs="Arial"/>
          <w:b w:val="0"/>
          <w:noProof/>
          <w:color w:val="auto"/>
          <w:lang w:val="el-GR"/>
        </w:rPr>
        <w:t>%)</w:t>
      </w:r>
      <w:r w:rsidR="00A93B11">
        <w:rPr>
          <w:rFonts w:asciiTheme="minorHAnsi" w:hAnsiTheme="minorHAnsi" w:cs="Arial"/>
          <w:b w:val="0"/>
          <w:noProof/>
          <w:color w:val="auto"/>
          <w:lang w:val="el-GR"/>
        </w:rPr>
        <w:t xml:space="preserve"> και</w:t>
      </w:r>
      <w:r w:rsidRPr="00445650">
        <w:rPr>
          <w:rFonts w:asciiTheme="minorHAnsi" w:hAnsiTheme="minorHAnsi" w:cs="Arial"/>
          <w:b w:val="0"/>
          <w:noProof/>
          <w:color w:val="auto"/>
          <w:lang w:val="el-GR"/>
        </w:rPr>
        <w:t xml:space="preserve"> των νεοεισερχομένων (</w:t>
      </w:r>
      <w:r w:rsidR="000E4734">
        <w:rPr>
          <w:rFonts w:asciiTheme="minorHAnsi" w:hAnsiTheme="minorHAnsi" w:cs="Arial"/>
          <w:b w:val="0"/>
          <w:noProof/>
          <w:color w:val="auto"/>
          <w:lang w:val="el-GR"/>
        </w:rPr>
        <w:t>508</w:t>
      </w:r>
      <w:r w:rsidRPr="00445650">
        <w:rPr>
          <w:rFonts w:asciiTheme="minorHAnsi" w:hAnsiTheme="minorHAnsi" w:cs="Arial"/>
          <w:b w:val="0"/>
          <w:noProof/>
          <w:color w:val="auto"/>
          <w:lang w:val="el-GR"/>
        </w:rPr>
        <w:t xml:space="preserve"> ή </w:t>
      </w:r>
      <w:r w:rsidR="000E4734">
        <w:rPr>
          <w:rFonts w:asciiTheme="minorHAnsi" w:hAnsiTheme="minorHAnsi" w:cs="Arial"/>
          <w:b w:val="0"/>
          <w:noProof/>
          <w:color w:val="auto"/>
          <w:lang w:val="el-GR"/>
        </w:rPr>
        <w:t>3</w:t>
      </w:r>
      <w:r w:rsidR="00506AAB" w:rsidRPr="00445650">
        <w:rPr>
          <w:rFonts w:asciiTheme="minorHAnsi" w:hAnsiTheme="minorHAnsi" w:cs="Arial"/>
          <w:b w:val="0"/>
          <w:noProof/>
          <w:color w:val="auto"/>
          <w:lang w:val="el-GR"/>
        </w:rPr>
        <w:t>%)</w:t>
      </w:r>
      <w:r w:rsidRPr="00445650">
        <w:rPr>
          <w:rFonts w:asciiTheme="minorHAnsi" w:hAnsiTheme="minorHAnsi" w:cs="Arial"/>
          <w:b w:val="0"/>
          <w:noProof/>
          <w:color w:val="auto"/>
          <w:lang w:val="el-GR"/>
        </w:rPr>
        <w:t xml:space="preserve"> </w:t>
      </w:r>
      <w:r w:rsidR="00B20282" w:rsidRPr="00445650">
        <w:rPr>
          <w:rFonts w:asciiTheme="minorHAnsi" w:hAnsiTheme="minorHAnsi" w:cs="Arial"/>
          <w:b w:val="0"/>
          <w:color w:val="auto"/>
          <w:lang w:val="el-GR"/>
        </w:rPr>
        <w:t>[βλέπε πίνακα 29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]. </w:t>
      </w:r>
    </w:p>
    <w:p w:rsidR="00E27309" w:rsidRPr="00B050C6" w:rsidRDefault="00E27309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color w:val="FF0000"/>
          <w:lang w:val="el-GR"/>
        </w:rPr>
      </w:pPr>
    </w:p>
    <w:p w:rsidR="006A42F3" w:rsidRPr="00445650" w:rsidRDefault="006A42F3" w:rsidP="006A42F3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Η πλειοψηφία των μακροχρόνια ανέργων είναι </w:t>
      </w:r>
      <w:r w:rsidRPr="00445650">
        <w:rPr>
          <w:rFonts w:asciiTheme="minorHAnsi" w:hAnsiTheme="minorHAnsi" w:cs="Arial"/>
          <w:color w:val="auto"/>
          <w:lang w:val="el-GR"/>
        </w:rPr>
        <w:t>Ελληνοκύπριοι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 (με </w:t>
      </w:r>
      <w:r w:rsidR="000E4734">
        <w:rPr>
          <w:rFonts w:asciiTheme="minorHAnsi" w:hAnsiTheme="minorHAnsi" w:cs="Arial"/>
          <w:b w:val="0"/>
          <w:color w:val="auto"/>
          <w:lang w:val="el-GR"/>
        </w:rPr>
        <w:t>2.954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 άτομα ή </w:t>
      </w:r>
      <w:r w:rsidR="00D66F19" w:rsidRPr="00445650">
        <w:rPr>
          <w:rFonts w:asciiTheme="minorHAnsi" w:hAnsiTheme="minorHAnsi" w:cs="Arial"/>
          <w:b w:val="0"/>
          <w:color w:val="auto"/>
          <w:lang w:val="el-GR"/>
        </w:rPr>
        <w:t>8</w:t>
      </w:r>
      <w:r w:rsidR="00D476D0">
        <w:rPr>
          <w:rFonts w:asciiTheme="minorHAnsi" w:hAnsiTheme="minorHAnsi" w:cs="Arial"/>
          <w:b w:val="0"/>
          <w:color w:val="auto"/>
          <w:lang w:val="el-GR"/>
        </w:rPr>
        <w:t>2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>%) και ακολουθούν με πολύ μικρότερους αριθμούς</w:t>
      </w:r>
      <w:r w:rsidR="00B2245D" w:rsidRPr="00445650">
        <w:rPr>
          <w:rFonts w:asciiTheme="minorHAnsi" w:hAnsiTheme="minorHAnsi" w:cs="Arial"/>
          <w:b w:val="0"/>
          <w:color w:val="auto"/>
          <w:lang w:val="el-GR"/>
        </w:rPr>
        <w:t xml:space="preserve"> οι Ευρωπαίοι πολίτες (με </w:t>
      </w:r>
      <w:r w:rsidR="004965A6" w:rsidRPr="00445650">
        <w:rPr>
          <w:rFonts w:asciiTheme="minorHAnsi" w:hAnsiTheme="minorHAnsi" w:cs="Arial"/>
          <w:b w:val="0"/>
          <w:color w:val="auto"/>
          <w:lang w:val="el-GR"/>
        </w:rPr>
        <w:t>2</w:t>
      </w:r>
      <w:r w:rsidR="000E4734">
        <w:rPr>
          <w:rFonts w:asciiTheme="minorHAnsi" w:hAnsiTheme="minorHAnsi" w:cs="Arial"/>
          <w:b w:val="0"/>
          <w:color w:val="auto"/>
          <w:lang w:val="el-GR"/>
        </w:rPr>
        <w:t>44 ή 7</w:t>
      </w:r>
      <w:r w:rsidR="00B2245D" w:rsidRPr="00445650">
        <w:rPr>
          <w:rFonts w:asciiTheme="minorHAnsi" w:hAnsiTheme="minorHAnsi" w:cs="Arial"/>
          <w:b w:val="0"/>
          <w:color w:val="auto"/>
          <w:lang w:val="el-GR"/>
        </w:rPr>
        <w:t xml:space="preserve">%), 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692AB0" w:rsidRPr="00445650">
        <w:rPr>
          <w:rFonts w:asciiTheme="minorHAnsi" w:hAnsiTheme="minorHAnsi" w:cs="Arial"/>
          <w:b w:val="0"/>
          <w:color w:val="auto"/>
          <w:lang w:val="el-GR"/>
        </w:rPr>
        <w:t xml:space="preserve">τα άτομα με καθεστώς συμπληρωματικής προστασίας (με </w:t>
      </w:r>
      <w:r w:rsidR="00445650" w:rsidRPr="00445650">
        <w:rPr>
          <w:rFonts w:asciiTheme="minorHAnsi" w:hAnsiTheme="minorHAnsi" w:cs="Arial"/>
          <w:b w:val="0"/>
          <w:color w:val="auto"/>
          <w:lang w:val="el-GR"/>
        </w:rPr>
        <w:t>1</w:t>
      </w:r>
      <w:r w:rsidR="000E4734">
        <w:rPr>
          <w:rFonts w:asciiTheme="minorHAnsi" w:hAnsiTheme="minorHAnsi" w:cs="Arial"/>
          <w:b w:val="0"/>
          <w:color w:val="auto"/>
          <w:lang w:val="el-GR"/>
        </w:rPr>
        <w:t>52</w:t>
      </w:r>
      <w:r w:rsidR="00692AB0" w:rsidRPr="00445650">
        <w:rPr>
          <w:rFonts w:asciiTheme="minorHAnsi" w:hAnsiTheme="minorHAnsi" w:cs="Arial"/>
          <w:b w:val="0"/>
          <w:color w:val="auto"/>
          <w:lang w:val="el-GR"/>
        </w:rPr>
        <w:t xml:space="preserve"> ή </w:t>
      </w:r>
      <w:r w:rsidR="00A93B11">
        <w:rPr>
          <w:rFonts w:asciiTheme="minorHAnsi" w:hAnsiTheme="minorHAnsi" w:cs="Arial"/>
          <w:b w:val="0"/>
          <w:color w:val="auto"/>
          <w:lang w:val="el-GR"/>
        </w:rPr>
        <w:t>4</w:t>
      </w:r>
      <w:r w:rsidR="00692AB0" w:rsidRPr="00445650">
        <w:rPr>
          <w:rFonts w:asciiTheme="minorHAnsi" w:hAnsiTheme="minorHAnsi" w:cs="Arial"/>
          <w:b w:val="0"/>
          <w:color w:val="auto"/>
          <w:lang w:val="el-GR"/>
        </w:rPr>
        <w:t>%),</w:t>
      </w:r>
      <w:r w:rsidR="0014588A" w:rsidRPr="00445650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οι αλλοδαποί (με </w:t>
      </w:r>
      <w:r w:rsidR="000D0F99" w:rsidRPr="00445650">
        <w:rPr>
          <w:rFonts w:asciiTheme="minorHAnsi" w:hAnsiTheme="minorHAnsi" w:cs="Arial"/>
          <w:b w:val="0"/>
          <w:color w:val="auto"/>
          <w:lang w:val="el-GR"/>
        </w:rPr>
        <w:t>1</w:t>
      </w:r>
      <w:r w:rsidR="000E4734">
        <w:rPr>
          <w:rFonts w:asciiTheme="minorHAnsi" w:hAnsiTheme="minorHAnsi" w:cs="Arial"/>
          <w:b w:val="0"/>
          <w:color w:val="auto"/>
          <w:lang w:val="el-GR"/>
        </w:rPr>
        <w:t>41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 άτομα ή </w:t>
      </w:r>
      <w:r w:rsidR="009C665A" w:rsidRPr="009C665A">
        <w:rPr>
          <w:rFonts w:asciiTheme="minorHAnsi" w:hAnsiTheme="minorHAnsi" w:cs="Arial"/>
          <w:b w:val="0"/>
          <w:color w:val="auto"/>
          <w:lang w:val="el-GR"/>
        </w:rPr>
        <w:t>4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%) και οι Πόντιοι με ελληνικό διαβατήριο (με </w:t>
      </w:r>
      <w:r w:rsidR="00D476D0">
        <w:rPr>
          <w:rFonts w:asciiTheme="minorHAnsi" w:hAnsiTheme="minorHAnsi" w:cs="Arial"/>
          <w:b w:val="0"/>
          <w:color w:val="auto"/>
          <w:lang w:val="el-GR"/>
        </w:rPr>
        <w:t>7</w:t>
      </w:r>
      <w:r w:rsidR="000E4734">
        <w:rPr>
          <w:rFonts w:asciiTheme="minorHAnsi" w:hAnsiTheme="minorHAnsi" w:cs="Arial"/>
          <w:b w:val="0"/>
          <w:color w:val="auto"/>
          <w:lang w:val="el-GR"/>
        </w:rPr>
        <w:t>8</w:t>
      </w:r>
      <w:r w:rsidR="000D0F99" w:rsidRPr="00445650">
        <w:rPr>
          <w:rFonts w:asciiTheme="minorHAnsi" w:hAnsiTheme="minorHAnsi" w:cs="Arial"/>
          <w:b w:val="0"/>
          <w:color w:val="auto"/>
          <w:lang w:val="el-GR"/>
        </w:rPr>
        <w:t xml:space="preserve"> άτομα ή 2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%) [βλέπε πίνακα </w:t>
      </w:r>
      <w:r w:rsidR="00B20282" w:rsidRPr="00445650">
        <w:rPr>
          <w:rFonts w:asciiTheme="minorHAnsi" w:hAnsiTheme="minorHAnsi" w:cs="Arial"/>
          <w:b w:val="0"/>
          <w:color w:val="auto"/>
          <w:lang w:val="el-GR"/>
        </w:rPr>
        <w:t>30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>].</w:t>
      </w:r>
    </w:p>
    <w:p w:rsidR="006A42F3" w:rsidRPr="00B050C6" w:rsidRDefault="006A42F3" w:rsidP="006A42F3">
      <w:pPr>
        <w:spacing w:line="276" w:lineRule="auto"/>
        <w:jc w:val="both"/>
        <w:rPr>
          <w:rFonts w:asciiTheme="minorHAnsi" w:hAnsiTheme="minorHAnsi" w:cs="Arial"/>
          <w:b w:val="0"/>
          <w:color w:val="FF0000"/>
          <w:lang w:val="el-GR"/>
        </w:rPr>
      </w:pPr>
    </w:p>
    <w:p w:rsidR="006A42F3" w:rsidRPr="00445650" w:rsidRDefault="006A42F3" w:rsidP="006A42F3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445650">
        <w:rPr>
          <w:rFonts w:asciiTheme="minorHAnsi" w:hAnsiTheme="minorHAnsi" w:cs="Arial"/>
          <w:b w:val="0"/>
          <w:color w:val="auto"/>
          <w:lang w:val="el-GR"/>
        </w:rPr>
        <w:t>Όσον αφο</w:t>
      </w:r>
      <w:r w:rsidR="0085496A" w:rsidRPr="00445650">
        <w:rPr>
          <w:rFonts w:asciiTheme="minorHAnsi" w:hAnsiTheme="minorHAnsi" w:cs="Arial"/>
          <w:b w:val="0"/>
          <w:color w:val="auto"/>
          <w:lang w:val="el-GR"/>
        </w:rPr>
        <w:t>ρά τους Ευρωπαίους πολίτες (</w:t>
      </w:r>
      <w:r w:rsidR="00AC60FA">
        <w:rPr>
          <w:rFonts w:asciiTheme="minorHAnsi" w:hAnsiTheme="minorHAnsi" w:cs="Arial"/>
          <w:b w:val="0"/>
          <w:color w:val="auto"/>
          <w:lang w:val="el-GR"/>
        </w:rPr>
        <w:t>2</w:t>
      </w:r>
      <w:r w:rsidR="004A5CA3">
        <w:rPr>
          <w:rFonts w:asciiTheme="minorHAnsi" w:hAnsiTheme="minorHAnsi" w:cs="Arial"/>
          <w:b w:val="0"/>
          <w:color w:val="auto"/>
          <w:lang w:val="el-GR"/>
        </w:rPr>
        <w:t>43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 άτομα), </w:t>
      </w:r>
      <w:r w:rsidR="0085496A" w:rsidRPr="00445650">
        <w:rPr>
          <w:rFonts w:asciiTheme="minorHAnsi" w:hAnsiTheme="minorHAnsi" w:cs="Arial"/>
          <w:b w:val="0"/>
          <w:color w:val="auto"/>
          <w:lang w:val="el-GR"/>
        </w:rPr>
        <w:t>οι περισσότεροι είναι Έλληνες (</w:t>
      </w:r>
      <w:r w:rsidR="00AC60FA">
        <w:rPr>
          <w:rFonts w:asciiTheme="minorHAnsi" w:hAnsiTheme="minorHAnsi" w:cs="Arial"/>
          <w:b w:val="0"/>
          <w:color w:val="auto"/>
          <w:lang w:val="el-GR"/>
        </w:rPr>
        <w:t>6</w:t>
      </w:r>
      <w:r w:rsidR="004A5CA3">
        <w:rPr>
          <w:rFonts w:asciiTheme="minorHAnsi" w:hAnsiTheme="minorHAnsi" w:cs="Arial"/>
          <w:b w:val="0"/>
          <w:color w:val="auto"/>
          <w:lang w:val="el-GR"/>
        </w:rPr>
        <w:t>6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 άτομα)</w:t>
      </w:r>
      <w:r w:rsidR="0000195F" w:rsidRPr="00445650">
        <w:rPr>
          <w:rFonts w:asciiTheme="minorHAnsi" w:hAnsiTheme="minorHAnsi" w:cs="Arial"/>
          <w:b w:val="0"/>
          <w:color w:val="auto"/>
          <w:lang w:val="el-GR"/>
        </w:rPr>
        <w:t>,</w:t>
      </w:r>
      <w:r w:rsidR="00E8041B" w:rsidRPr="00445650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905A8D">
        <w:rPr>
          <w:rFonts w:asciiTheme="minorHAnsi" w:hAnsiTheme="minorHAnsi" w:cs="Arial"/>
          <w:b w:val="0"/>
          <w:color w:val="auto"/>
          <w:lang w:val="el-GR"/>
        </w:rPr>
        <w:t xml:space="preserve">ή </w:t>
      </w:r>
      <w:r w:rsidR="00905A8D" w:rsidRPr="00445650">
        <w:rPr>
          <w:rFonts w:asciiTheme="minorHAnsi" w:hAnsiTheme="minorHAnsi" w:cs="Arial"/>
          <w:b w:val="0"/>
          <w:color w:val="auto"/>
          <w:lang w:val="el-GR"/>
        </w:rPr>
        <w:t>Βούλγαροι (</w:t>
      </w:r>
      <w:r w:rsidR="004A5CA3">
        <w:rPr>
          <w:rFonts w:asciiTheme="minorHAnsi" w:hAnsiTheme="minorHAnsi" w:cs="Arial"/>
          <w:b w:val="0"/>
          <w:color w:val="auto"/>
          <w:lang w:val="el-GR"/>
        </w:rPr>
        <w:t>5</w:t>
      </w:r>
      <w:r w:rsidR="00AC60FA">
        <w:rPr>
          <w:rFonts w:asciiTheme="minorHAnsi" w:hAnsiTheme="minorHAnsi" w:cs="Arial"/>
          <w:b w:val="0"/>
          <w:color w:val="auto"/>
          <w:lang w:val="el-GR"/>
        </w:rPr>
        <w:t>0</w:t>
      </w:r>
      <w:r w:rsidR="00905A8D">
        <w:rPr>
          <w:rFonts w:asciiTheme="minorHAnsi" w:hAnsiTheme="minorHAnsi" w:cs="Arial"/>
          <w:b w:val="0"/>
          <w:color w:val="auto"/>
          <w:lang w:val="el-GR"/>
        </w:rPr>
        <w:t xml:space="preserve"> άτομα)</w:t>
      </w:r>
      <w:r w:rsidR="00905A8D" w:rsidRPr="00445650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506AAB" w:rsidRPr="00445650">
        <w:rPr>
          <w:rFonts w:asciiTheme="minorHAnsi" w:hAnsiTheme="minorHAnsi" w:cs="Arial"/>
          <w:b w:val="0"/>
          <w:color w:val="auto"/>
          <w:lang w:val="el-GR"/>
        </w:rPr>
        <w:t>ή</w:t>
      </w:r>
      <w:r w:rsidR="00905A8D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E8041B" w:rsidRPr="00445650">
        <w:rPr>
          <w:rFonts w:asciiTheme="minorHAnsi" w:hAnsiTheme="minorHAnsi" w:cs="Arial"/>
          <w:b w:val="0"/>
          <w:color w:val="auto"/>
          <w:lang w:val="el-GR"/>
        </w:rPr>
        <w:t>Ρουμάνοι (</w:t>
      </w:r>
      <w:r w:rsidR="00AC60FA">
        <w:rPr>
          <w:rFonts w:asciiTheme="minorHAnsi" w:hAnsiTheme="minorHAnsi" w:cs="Arial"/>
          <w:b w:val="0"/>
          <w:color w:val="auto"/>
          <w:lang w:val="el-GR"/>
        </w:rPr>
        <w:t>4</w:t>
      </w:r>
      <w:r w:rsidR="004A5CA3">
        <w:rPr>
          <w:rFonts w:asciiTheme="minorHAnsi" w:hAnsiTheme="minorHAnsi" w:cs="Arial"/>
          <w:b w:val="0"/>
          <w:color w:val="auto"/>
          <w:lang w:val="el-GR"/>
        </w:rPr>
        <w:t>6</w:t>
      </w:r>
      <w:r w:rsidR="00190734">
        <w:rPr>
          <w:rFonts w:asciiTheme="minorHAnsi" w:hAnsiTheme="minorHAnsi" w:cs="Arial"/>
          <w:b w:val="0"/>
          <w:color w:val="auto"/>
          <w:lang w:val="el-GR"/>
        </w:rPr>
        <w:t xml:space="preserve"> άτομα)</w:t>
      </w:r>
      <w:r w:rsidR="009C665A" w:rsidRPr="009C665A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9C665A" w:rsidRPr="00445650">
        <w:rPr>
          <w:rFonts w:asciiTheme="minorHAnsi" w:hAnsiTheme="minorHAnsi" w:cs="Arial"/>
          <w:b w:val="0"/>
          <w:color w:val="auto"/>
          <w:lang w:val="el-GR"/>
        </w:rPr>
        <w:t xml:space="preserve">ή </w:t>
      </w:r>
      <w:r w:rsidR="009C665A">
        <w:rPr>
          <w:rFonts w:asciiTheme="minorHAnsi" w:hAnsiTheme="minorHAnsi" w:cs="Arial"/>
          <w:b w:val="0"/>
          <w:color w:val="auto"/>
          <w:lang w:val="el-GR"/>
        </w:rPr>
        <w:t xml:space="preserve">και </w:t>
      </w:r>
      <w:r w:rsidR="009C665A" w:rsidRPr="00445650">
        <w:rPr>
          <w:rFonts w:asciiTheme="minorHAnsi" w:hAnsiTheme="minorHAnsi" w:cs="Arial"/>
          <w:b w:val="0"/>
          <w:color w:val="auto"/>
          <w:lang w:val="el-GR"/>
        </w:rPr>
        <w:t>Βρετανοί (</w:t>
      </w:r>
      <w:r w:rsidR="00AC60FA">
        <w:rPr>
          <w:rFonts w:asciiTheme="minorHAnsi" w:hAnsiTheme="minorHAnsi" w:cs="Arial"/>
          <w:b w:val="0"/>
          <w:color w:val="auto"/>
          <w:lang w:val="el-GR"/>
        </w:rPr>
        <w:t>36</w:t>
      </w:r>
      <w:r w:rsidR="009C665A" w:rsidRPr="00445650">
        <w:rPr>
          <w:rFonts w:asciiTheme="minorHAnsi" w:hAnsiTheme="minorHAnsi" w:cs="Arial"/>
          <w:b w:val="0"/>
          <w:color w:val="auto"/>
          <w:lang w:val="el-GR"/>
        </w:rPr>
        <w:t xml:space="preserve"> άτομα)</w:t>
      </w:r>
      <w:r w:rsidR="00A93B11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 xml:space="preserve">[βλέπε πίνακα </w:t>
      </w:r>
      <w:r w:rsidR="00B20282" w:rsidRPr="00445650">
        <w:rPr>
          <w:rFonts w:asciiTheme="minorHAnsi" w:hAnsiTheme="minorHAnsi" w:cs="Arial"/>
          <w:b w:val="0"/>
          <w:color w:val="auto"/>
          <w:lang w:val="el-GR"/>
        </w:rPr>
        <w:t>31</w:t>
      </w:r>
      <w:r w:rsidRPr="00445650">
        <w:rPr>
          <w:rFonts w:asciiTheme="minorHAnsi" w:hAnsiTheme="minorHAnsi" w:cs="Arial"/>
          <w:b w:val="0"/>
          <w:color w:val="auto"/>
          <w:lang w:val="el-GR"/>
        </w:rPr>
        <w:t>].</w:t>
      </w:r>
    </w:p>
    <w:p w:rsidR="006A42F3" w:rsidRPr="00B050C6" w:rsidRDefault="006A42F3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color w:val="FF0000"/>
          <w:sz w:val="22"/>
          <w:szCs w:val="22"/>
          <w:lang w:val="el-GR"/>
        </w:rPr>
      </w:pPr>
    </w:p>
    <w:p w:rsidR="00E27309" w:rsidRPr="00B565F2" w:rsidRDefault="00E27309" w:rsidP="00E7707C">
      <w:pPr>
        <w:spacing w:line="276" w:lineRule="auto"/>
        <w:ind w:left="4320" w:hanging="4320"/>
        <w:rPr>
          <w:rFonts w:ascii="Calibri" w:eastAsia="MS Mincho" w:hAnsi="Calibri" w:cs="Arial"/>
          <w:bCs w:val="0"/>
          <w:color w:val="auto"/>
          <w:sz w:val="22"/>
          <w:szCs w:val="22"/>
          <w:lang w:val="el-GR"/>
        </w:rPr>
      </w:pPr>
    </w:p>
    <w:p w:rsidR="005307FA" w:rsidRPr="00B565F2" w:rsidRDefault="005307FA" w:rsidP="005307FA">
      <w:pPr>
        <w:rPr>
          <w:rFonts w:ascii="Calibri" w:hAnsi="Calibri" w:cs="Calibri"/>
          <w:b w:val="0"/>
          <w:color w:val="auto"/>
          <w:u w:val="single"/>
          <w:lang w:val="el-GR"/>
        </w:rPr>
      </w:pPr>
      <w:r w:rsidRPr="00B565F2">
        <w:rPr>
          <w:rFonts w:ascii="Calibri" w:hAnsi="Calibri" w:cs="Calibri"/>
          <w:b w:val="0"/>
          <w:color w:val="auto"/>
          <w:u w:val="single"/>
          <w:lang w:val="el-GR"/>
        </w:rPr>
        <w:t>ΣΗΜΕΙΩΣΗ: Για πρόσθετη πληροφόρηση υπάρχουν οι συνημμένοι πίνακες στο τέλος της Έκθεσης.</w:t>
      </w:r>
    </w:p>
    <w:p w:rsidR="00E27309" w:rsidRPr="00E411AE" w:rsidRDefault="00E27309" w:rsidP="0084305D">
      <w:pPr>
        <w:spacing w:line="276" w:lineRule="auto"/>
        <w:ind w:left="4320" w:hanging="4320"/>
        <w:rPr>
          <w:rFonts w:ascii="Calibri" w:eastAsia="MS Mincho" w:hAnsi="Calibri" w:cs="Arial"/>
          <w:bCs w:val="0"/>
          <w:color w:val="auto"/>
          <w:sz w:val="22"/>
          <w:szCs w:val="22"/>
          <w:lang w:val="el-GR"/>
        </w:rPr>
      </w:pPr>
    </w:p>
    <w:p w:rsidR="009024D8" w:rsidRPr="00E411AE" w:rsidRDefault="009024D8" w:rsidP="00E27309">
      <w:pPr>
        <w:spacing w:line="276" w:lineRule="auto"/>
        <w:ind w:left="4320" w:hanging="4320"/>
        <w:rPr>
          <w:rFonts w:ascii="Calibri" w:eastAsia="MS Mincho" w:hAnsi="Calibri" w:cs="Arial"/>
          <w:bCs w:val="0"/>
          <w:color w:val="auto"/>
          <w:sz w:val="22"/>
          <w:szCs w:val="22"/>
          <w:lang w:val="el-GR"/>
        </w:rPr>
      </w:pPr>
    </w:p>
    <w:p w:rsidR="009024D8" w:rsidRPr="00E411AE" w:rsidRDefault="009024D8" w:rsidP="00E27309">
      <w:pPr>
        <w:spacing w:line="276" w:lineRule="auto"/>
        <w:ind w:left="4320" w:hanging="4320"/>
        <w:rPr>
          <w:rFonts w:ascii="Calibri" w:eastAsia="MS Mincho" w:hAnsi="Calibri" w:cs="Arial"/>
          <w:bCs w:val="0"/>
          <w:color w:val="auto"/>
          <w:lang w:val="el-GR"/>
        </w:rPr>
      </w:pPr>
    </w:p>
    <w:p w:rsidR="00E27309" w:rsidRPr="00E411AE" w:rsidRDefault="00E27309" w:rsidP="00B04C44">
      <w:pPr>
        <w:spacing w:line="276" w:lineRule="auto"/>
        <w:ind w:left="4320" w:hanging="4320"/>
        <w:jc w:val="right"/>
        <w:rPr>
          <w:rFonts w:ascii="Calibri" w:eastAsia="MS Mincho" w:hAnsi="Calibri" w:cs="Arial"/>
          <w:bCs w:val="0"/>
          <w:color w:val="auto"/>
          <w:lang w:val="el-GR"/>
        </w:rPr>
      </w:pP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  <w:t xml:space="preserve"> Παρατηρητήριο Αγοράς Εργασίας</w:t>
      </w:r>
    </w:p>
    <w:p w:rsidR="00E27309" w:rsidRPr="00E411AE" w:rsidRDefault="009024D8" w:rsidP="00B04C44">
      <w:pPr>
        <w:spacing w:line="276" w:lineRule="auto"/>
        <w:jc w:val="right"/>
        <w:rPr>
          <w:rFonts w:ascii="Calibri" w:eastAsia="MS Mincho" w:hAnsi="Calibri" w:cs="Arial"/>
          <w:bCs w:val="0"/>
          <w:color w:val="auto"/>
          <w:lang w:val="el-GR"/>
        </w:rPr>
      </w:pPr>
      <w:r w:rsidRPr="00E411AE">
        <w:rPr>
          <w:rFonts w:ascii="Calibri" w:eastAsia="MS Mincho" w:hAnsi="Calibri" w:cs="Arial"/>
          <w:bCs w:val="0"/>
          <w:color w:val="auto"/>
          <w:lang w:val="el-GR"/>
        </w:rPr>
        <w:t xml:space="preserve">                                                                                                                    </w:t>
      </w:r>
      <w:r w:rsidR="00E27309" w:rsidRPr="00E411AE">
        <w:rPr>
          <w:rFonts w:ascii="Calibri" w:eastAsia="MS Mincho" w:hAnsi="Calibri" w:cs="Arial"/>
          <w:bCs w:val="0"/>
          <w:color w:val="auto"/>
          <w:lang w:val="el-GR"/>
        </w:rPr>
        <w:t>Τμήμα Εργασίας</w:t>
      </w:r>
    </w:p>
    <w:p w:rsidR="009024D8" w:rsidRPr="008C4D3D" w:rsidRDefault="009024D8" w:rsidP="00B04C44">
      <w:pPr>
        <w:spacing w:line="276" w:lineRule="auto"/>
        <w:jc w:val="right"/>
        <w:rPr>
          <w:rFonts w:ascii="Calibri" w:eastAsia="MS Mincho" w:hAnsi="Calibri" w:cs="Arial"/>
          <w:bCs w:val="0"/>
          <w:color w:val="auto"/>
          <w:lang w:val="el-GR"/>
        </w:rPr>
      </w:pP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="00FC7649">
        <w:rPr>
          <w:rFonts w:ascii="Calibri" w:eastAsia="MS Mincho" w:hAnsi="Calibri" w:cs="Arial"/>
          <w:bCs w:val="0"/>
          <w:color w:val="auto"/>
          <w:lang w:val="el-GR"/>
        </w:rPr>
        <w:t>Μάιος</w:t>
      </w:r>
      <w:r w:rsidR="00AC60FA" w:rsidRPr="008C4D3D">
        <w:rPr>
          <w:rFonts w:ascii="Calibri" w:eastAsia="MS Mincho" w:hAnsi="Calibri" w:cs="Arial"/>
          <w:bCs w:val="0"/>
          <w:color w:val="auto"/>
          <w:lang w:val="el-GR"/>
        </w:rPr>
        <w:t xml:space="preserve"> 2020</w:t>
      </w:r>
    </w:p>
    <w:p w:rsidR="00E27309" w:rsidRPr="008C4D3D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E27309" w:rsidRPr="008C4D3D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E27309" w:rsidRPr="008C4D3D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E27309" w:rsidRPr="008C4D3D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E27309" w:rsidRPr="008C4D3D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E27309" w:rsidRPr="008C4D3D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E27309" w:rsidRPr="008C4D3D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E27309" w:rsidRPr="008C4D3D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E27309" w:rsidRPr="008C4D3D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E27309" w:rsidRPr="008C4D3D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E27309" w:rsidRPr="008C4D3D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AD09B0" w:rsidRPr="008C4D3D" w:rsidRDefault="00AD09B0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00195F" w:rsidRPr="008C4D3D" w:rsidRDefault="0000195F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00195F" w:rsidRPr="008C4D3D" w:rsidRDefault="0000195F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764E4A" w:rsidRPr="008C4D3D" w:rsidRDefault="00764E4A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764E4A" w:rsidRPr="008C4D3D" w:rsidRDefault="00764E4A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70644D" w:rsidRPr="008C4D3D" w:rsidRDefault="0070644D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A266FB" w:rsidRPr="008C4D3D" w:rsidRDefault="00A266FB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855F4B" w:rsidRPr="008C4D3D" w:rsidRDefault="00855F4B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855F4B" w:rsidRPr="008C4D3D" w:rsidRDefault="00855F4B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C245ED" w:rsidRPr="00AC60FA" w:rsidRDefault="00E27309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  <w:r w:rsidRPr="00E411AE"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  <w:t>ΜΡη</w:t>
      </w:r>
      <w:r w:rsidRPr="00E411AE"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  <w:t xml:space="preserve">, </w:t>
      </w:r>
      <w:r w:rsidR="00D81E3D"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  <w:fldChar w:fldCharType="begin"/>
      </w:r>
      <w:r w:rsidR="00D81E3D"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  <w:instrText xml:space="preserve"> FILENAME  \p  \* MERGEFORMAT </w:instrText>
      </w:r>
      <w:r w:rsidR="00D81E3D"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  <w:fldChar w:fldCharType="separate"/>
      </w:r>
      <w:r w:rsidR="00D81E3D">
        <w:rPr>
          <w:rFonts w:ascii="Calibri" w:eastAsia="MS Mincho" w:hAnsi="Calibri" w:cs="Arial"/>
          <w:b w:val="0"/>
          <w:bCs w:val="0"/>
          <w:noProof/>
          <w:color w:val="auto"/>
          <w:sz w:val="18"/>
          <w:szCs w:val="18"/>
        </w:rPr>
        <w:t>C:\Users\MR.MR-HP\Desktop\Office\April 2020 new\Reports\ΚΕΦΑΛΑΙΟ Ι &amp; ΙΙ -April 2020.docx</w:t>
      </w:r>
      <w:r w:rsidR="00D81E3D"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  <w:fldChar w:fldCharType="end"/>
      </w:r>
    </w:p>
    <w:p w:rsidR="00CA31D1" w:rsidRPr="007872F5" w:rsidRDefault="00CA31D1" w:rsidP="00EA5178">
      <w:pPr>
        <w:spacing w:after="200" w:line="276" w:lineRule="auto"/>
        <w:rPr>
          <w:rFonts w:ascii="Calibri" w:hAnsi="Calibri" w:cs="Calibri"/>
          <w:color w:val="auto"/>
          <w:sz w:val="18"/>
          <w:szCs w:val="18"/>
          <w:u w:val="single"/>
        </w:rPr>
      </w:pPr>
    </w:p>
    <w:sectPr w:rsidR="00CA31D1" w:rsidRPr="007872F5" w:rsidSect="00850F67">
      <w:footerReference w:type="default" r:id="rId17"/>
      <w:pgSz w:w="11906" w:h="16838" w:code="9"/>
      <w:pgMar w:top="1135" w:right="1800" w:bottom="1440" w:left="1900" w:header="709" w:footer="709" w:gutter="227"/>
      <w:pgNumType w:start="1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84F" w:rsidRDefault="0064084F">
      <w:r>
        <w:separator/>
      </w:r>
    </w:p>
  </w:endnote>
  <w:endnote w:type="continuationSeparator" w:id="0">
    <w:p w:rsidR="0064084F" w:rsidRDefault="00640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793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318C" w:rsidRDefault="005731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0C9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7318C" w:rsidRDefault="0057318C" w:rsidP="00FB3B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84F" w:rsidRDefault="0064084F">
      <w:r>
        <w:separator/>
      </w:r>
    </w:p>
  </w:footnote>
  <w:footnote w:type="continuationSeparator" w:id="0">
    <w:p w:rsidR="0064084F" w:rsidRDefault="0064084F">
      <w:r>
        <w:continuationSeparator/>
      </w:r>
    </w:p>
  </w:footnote>
  <w:footnote w:id="1">
    <w:p w:rsidR="005D19B0" w:rsidRPr="00887DBA" w:rsidRDefault="005D19B0" w:rsidP="005D19B0">
      <w:pPr>
        <w:pStyle w:val="FootnoteText"/>
        <w:rPr>
          <w:sz w:val="18"/>
          <w:szCs w:val="18"/>
          <w:lang w:val="el-GR"/>
        </w:rPr>
      </w:pPr>
      <w:r w:rsidRPr="00887DBA">
        <w:rPr>
          <w:rStyle w:val="FootnoteReference"/>
          <w:sz w:val="18"/>
          <w:szCs w:val="18"/>
        </w:rPr>
        <w:footnoteRef/>
      </w:r>
      <w:r w:rsidRPr="00887DBA">
        <w:rPr>
          <w:sz w:val="18"/>
          <w:szCs w:val="18"/>
          <w:lang w:val="el-GR"/>
        </w:rPr>
        <w:t>Στον αριθμό των νέων εγγραφών περιλαμβάνονται και οι επανεγγραφές ανέργων των οποίων για διάφορους λόγους η προηγούμενη αίτηση τερματίστηκε (π.χ μη έγκαιρη ανανέωση της εγγραφής τους).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188"/>
    <w:multiLevelType w:val="hybridMultilevel"/>
    <w:tmpl w:val="DA349E92"/>
    <w:lvl w:ilvl="0" w:tplc="813ED0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67E0C"/>
    <w:multiLevelType w:val="hybridMultilevel"/>
    <w:tmpl w:val="E73EF0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72E62"/>
    <w:multiLevelType w:val="hybridMultilevel"/>
    <w:tmpl w:val="AFFE4A46"/>
    <w:lvl w:ilvl="0" w:tplc="021C44F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F1A07"/>
    <w:multiLevelType w:val="hybridMultilevel"/>
    <w:tmpl w:val="49D27F7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BB20F17"/>
    <w:multiLevelType w:val="hybridMultilevel"/>
    <w:tmpl w:val="EF7E3F76"/>
    <w:lvl w:ilvl="0" w:tplc="48D8E8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B016C"/>
    <w:multiLevelType w:val="hybridMultilevel"/>
    <w:tmpl w:val="BD586D7E"/>
    <w:lvl w:ilvl="0" w:tplc="24B0D1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93E84"/>
    <w:multiLevelType w:val="hybridMultilevel"/>
    <w:tmpl w:val="349A5C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241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64"/>
    <w:rsid w:val="000000C9"/>
    <w:rsid w:val="000002D8"/>
    <w:rsid w:val="000005C8"/>
    <w:rsid w:val="00000A51"/>
    <w:rsid w:val="000010F4"/>
    <w:rsid w:val="000015DB"/>
    <w:rsid w:val="0000195F"/>
    <w:rsid w:val="00002136"/>
    <w:rsid w:val="00002B46"/>
    <w:rsid w:val="0000322F"/>
    <w:rsid w:val="00003714"/>
    <w:rsid w:val="000037F3"/>
    <w:rsid w:val="0000387B"/>
    <w:rsid w:val="00003C1F"/>
    <w:rsid w:val="00005BCF"/>
    <w:rsid w:val="00006386"/>
    <w:rsid w:val="000064B5"/>
    <w:rsid w:val="00006812"/>
    <w:rsid w:val="00006BCD"/>
    <w:rsid w:val="000071D9"/>
    <w:rsid w:val="00007776"/>
    <w:rsid w:val="00012FCE"/>
    <w:rsid w:val="00013567"/>
    <w:rsid w:val="0001395E"/>
    <w:rsid w:val="00014766"/>
    <w:rsid w:val="00015215"/>
    <w:rsid w:val="000153C5"/>
    <w:rsid w:val="00015698"/>
    <w:rsid w:val="000158B2"/>
    <w:rsid w:val="0001621A"/>
    <w:rsid w:val="000168FD"/>
    <w:rsid w:val="00017073"/>
    <w:rsid w:val="0001751A"/>
    <w:rsid w:val="00017961"/>
    <w:rsid w:val="00020227"/>
    <w:rsid w:val="000203D1"/>
    <w:rsid w:val="00020505"/>
    <w:rsid w:val="000217F6"/>
    <w:rsid w:val="000218C2"/>
    <w:rsid w:val="00021C0C"/>
    <w:rsid w:val="00021EAB"/>
    <w:rsid w:val="00021F3C"/>
    <w:rsid w:val="000223BE"/>
    <w:rsid w:val="0002289D"/>
    <w:rsid w:val="00022911"/>
    <w:rsid w:val="00022A62"/>
    <w:rsid w:val="00023506"/>
    <w:rsid w:val="000238A7"/>
    <w:rsid w:val="00024297"/>
    <w:rsid w:val="000245CC"/>
    <w:rsid w:val="00024766"/>
    <w:rsid w:val="00024961"/>
    <w:rsid w:val="00024FDB"/>
    <w:rsid w:val="00025C09"/>
    <w:rsid w:val="00025C9F"/>
    <w:rsid w:val="00025F98"/>
    <w:rsid w:val="000263CD"/>
    <w:rsid w:val="000278DE"/>
    <w:rsid w:val="00030A73"/>
    <w:rsid w:val="00030C63"/>
    <w:rsid w:val="00030F6E"/>
    <w:rsid w:val="00031743"/>
    <w:rsid w:val="00031900"/>
    <w:rsid w:val="00032C72"/>
    <w:rsid w:val="00033271"/>
    <w:rsid w:val="000335DD"/>
    <w:rsid w:val="00033A71"/>
    <w:rsid w:val="00033B05"/>
    <w:rsid w:val="0003432D"/>
    <w:rsid w:val="00034651"/>
    <w:rsid w:val="00034711"/>
    <w:rsid w:val="00034826"/>
    <w:rsid w:val="00034EF0"/>
    <w:rsid w:val="00035661"/>
    <w:rsid w:val="00036248"/>
    <w:rsid w:val="000364C5"/>
    <w:rsid w:val="00036556"/>
    <w:rsid w:val="00037994"/>
    <w:rsid w:val="00037B69"/>
    <w:rsid w:val="00040C24"/>
    <w:rsid w:val="00041917"/>
    <w:rsid w:val="00042590"/>
    <w:rsid w:val="00042624"/>
    <w:rsid w:val="00042734"/>
    <w:rsid w:val="000428F4"/>
    <w:rsid w:val="00043BF9"/>
    <w:rsid w:val="00043E74"/>
    <w:rsid w:val="0004520D"/>
    <w:rsid w:val="00045DFB"/>
    <w:rsid w:val="000460E9"/>
    <w:rsid w:val="000465C0"/>
    <w:rsid w:val="0004664E"/>
    <w:rsid w:val="00047258"/>
    <w:rsid w:val="00047567"/>
    <w:rsid w:val="000476AA"/>
    <w:rsid w:val="000477A2"/>
    <w:rsid w:val="000502CA"/>
    <w:rsid w:val="00051212"/>
    <w:rsid w:val="00051E9D"/>
    <w:rsid w:val="00052939"/>
    <w:rsid w:val="0005381F"/>
    <w:rsid w:val="00053F09"/>
    <w:rsid w:val="00053F40"/>
    <w:rsid w:val="00054252"/>
    <w:rsid w:val="0005526F"/>
    <w:rsid w:val="0005582E"/>
    <w:rsid w:val="00055ECE"/>
    <w:rsid w:val="000560C8"/>
    <w:rsid w:val="0005612F"/>
    <w:rsid w:val="000567C6"/>
    <w:rsid w:val="000574CE"/>
    <w:rsid w:val="000578CE"/>
    <w:rsid w:val="0005792D"/>
    <w:rsid w:val="000603FD"/>
    <w:rsid w:val="0006070F"/>
    <w:rsid w:val="0006109F"/>
    <w:rsid w:val="00061E5D"/>
    <w:rsid w:val="000629AF"/>
    <w:rsid w:val="00062D35"/>
    <w:rsid w:val="00062DAE"/>
    <w:rsid w:val="0006343C"/>
    <w:rsid w:val="000636D3"/>
    <w:rsid w:val="0006370F"/>
    <w:rsid w:val="0006392C"/>
    <w:rsid w:val="00063AA3"/>
    <w:rsid w:val="00063F67"/>
    <w:rsid w:val="00064E1A"/>
    <w:rsid w:val="000651A0"/>
    <w:rsid w:val="00065604"/>
    <w:rsid w:val="00066503"/>
    <w:rsid w:val="000666EB"/>
    <w:rsid w:val="00067B12"/>
    <w:rsid w:val="00067B40"/>
    <w:rsid w:val="00067D38"/>
    <w:rsid w:val="00070D0A"/>
    <w:rsid w:val="00070EBC"/>
    <w:rsid w:val="00071005"/>
    <w:rsid w:val="00071042"/>
    <w:rsid w:val="000710FD"/>
    <w:rsid w:val="000719C5"/>
    <w:rsid w:val="00071D2E"/>
    <w:rsid w:val="00072614"/>
    <w:rsid w:val="00072638"/>
    <w:rsid w:val="00072C39"/>
    <w:rsid w:val="000745AB"/>
    <w:rsid w:val="00074817"/>
    <w:rsid w:val="00074D17"/>
    <w:rsid w:val="00074D31"/>
    <w:rsid w:val="00075B80"/>
    <w:rsid w:val="0007652C"/>
    <w:rsid w:val="000774CB"/>
    <w:rsid w:val="0007755D"/>
    <w:rsid w:val="000777D8"/>
    <w:rsid w:val="00077A8E"/>
    <w:rsid w:val="00077E1E"/>
    <w:rsid w:val="00080002"/>
    <w:rsid w:val="00080540"/>
    <w:rsid w:val="00080737"/>
    <w:rsid w:val="00080A12"/>
    <w:rsid w:val="00080AEF"/>
    <w:rsid w:val="000810C2"/>
    <w:rsid w:val="0008153D"/>
    <w:rsid w:val="00081D65"/>
    <w:rsid w:val="00081EBA"/>
    <w:rsid w:val="00082AF4"/>
    <w:rsid w:val="00082C56"/>
    <w:rsid w:val="00083079"/>
    <w:rsid w:val="00083252"/>
    <w:rsid w:val="00083DA8"/>
    <w:rsid w:val="00083EEE"/>
    <w:rsid w:val="00084745"/>
    <w:rsid w:val="00084790"/>
    <w:rsid w:val="0008485C"/>
    <w:rsid w:val="00084924"/>
    <w:rsid w:val="00084951"/>
    <w:rsid w:val="00084A5A"/>
    <w:rsid w:val="00085097"/>
    <w:rsid w:val="0008545D"/>
    <w:rsid w:val="00085DAD"/>
    <w:rsid w:val="00085E8F"/>
    <w:rsid w:val="00086AD1"/>
    <w:rsid w:val="00087AC5"/>
    <w:rsid w:val="00087DA7"/>
    <w:rsid w:val="000905AF"/>
    <w:rsid w:val="00091406"/>
    <w:rsid w:val="000917CB"/>
    <w:rsid w:val="00091A16"/>
    <w:rsid w:val="00091BED"/>
    <w:rsid w:val="000923B3"/>
    <w:rsid w:val="00092718"/>
    <w:rsid w:val="000938CC"/>
    <w:rsid w:val="00094B90"/>
    <w:rsid w:val="00094DE9"/>
    <w:rsid w:val="000953A7"/>
    <w:rsid w:val="00095927"/>
    <w:rsid w:val="00096956"/>
    <w:rsid w:val="00097411"/>
    <w:rsid w:val="000A05B4"/>
    <w:rsid w:val="000A0781"/>
    <w:rsid w:val="000A0D7F"/>
    <w:rsid w:val="000A1057"/>
    <w:rsid w:val="000A1651"/>
    <w:rsid w:val="000A176E"/>
    <w:rsid w:val="000A2094"/>
    <w:rsid w:val="000A25D2"/>
    <w:rsid w:val="000A291E"/>
    <w:rsid w:val="000A2991"/>
    <w:rsid w:val="000A2EAD"/>
    <w:rsid w:val="000A4931"/>
    <w:rsid w:val="000A4D04"/>
    <w:rsid w:val="000A52B4"/>
    <w:rsid w:val="000A5A4C"/>
    <w:rsid w:val="000A5D70"/>
    <w:rsid w:val="000A7531"/>
    <w:rsid w:val="000A7ACB"/>
    <w:rsid w:val="000A7B48"/>
    <w:rsid w:val="000A7C4C"/>
    <w:rsid w:val="000B0AA8"/>
    <w:rsid w:val="000B0E61"/>
    <w:rsid w:val="000B0E81"/>
    <w:rsid w:val="000B20E8"/>
    <w:rsid w:val="000B2978"/>
    <w:rsid w:val="000B37C1"/>
    <w:rsid w:val="000B3DF9"/>
    <w:rsid w:val="000B404F"/>
    <w:rsid w:val="000B50D8"/>
    <w:rsid w:val="000B5586"/>
    <w:rsid w:val="000B668A"/>
    <w:rsid w:val="000B7772"/>
    <w:rsid w:val="000B78A9"/>
    <w:rsid w:val="000B7C8F"/>
    <w:rsid w:val="000C043C"/>
    <w:rsid w:val="000C0F49"/>
    <w:rsid w:val="000C2635"/>
    <w:rsid w:val="000C2825"/>
    <w:rsid w:val="000C2D64"/>
    <w:rsid w:val="000C3126"/>
    <w:rsid w:val="000C3215"/>
    <w:rsid w:val="000C33B6"/>
    <w:rsid w:val="000C3535"/>
    <w:rsid w:val="000C36BE"/>
    <w:rsid w:val="000C40E5"/>
    <w:rsid w:val="000C4527"/>
    <w:rsid w:val="000C4A69"/>
    <w:rsid w:val="000C5910"/>
    <w:rsid w:val="000C5AAD"/>
    <w:rsid w:val="000C5C23"/>
    <w:rsid w:val="000C67A4"/>
    <w:rsid w:val="000C6B6D"/>
    <w:rsid w:val="000C6D84"/>
    <w:rsid w:val="000C7289"/>
    <w:rsid w:val="000C7325"/>
    <w:rsid w:val="000C7455"/>
    <w:rsid w:val="000D0688"/>
    <w:rsid w:val="000D06F8"/>
    <w:rsid w:val="000D0F80"/>
    <w:rsid w:val="000D0F99"/>
    <w:rsid w:val="000D20A5"/>
    <w:rsid w:val="000D2914"/>
    <w:rsid w:val="000D2B22"/>
    <w:rsid w:val="000D3151"/>
    <w:rsid w:val="000D3183"/>
    <w:rsid w:val="000D38B4"/>
    <w:rsid w:val="000D3C23"/>
    <w:rsid w:val="000D3F6B"/>
    <w:rsid w:val="000D52F4"/>
    <w:rsid w:val="000D5749"/>
    <w:rsid w:val="000D5D3C"/>
    <w:rsid w:val="000D5D46"/>
    <w:rsid w:val="000D633B"/>
    <w:rsid w:val="000D6546"/>
    <w:rsid w:val="000D673E"/>
    <w:rsid w:val="000D68C0"/>
    <w:rsid w:val="000D6E4C"/>
    <w:rsid w:val="000D70F3"/>
    <w:rsid w:val="000D77E2"/>
    <w:rsid w:val="000D7B54"/>
    <w:rsid w:val="000E1349"/>
    <w:rsid w:val="000E1593"/>
    <w:rsid w:val="000E1A8D"/>
    <w:rsid w:val="000E1B29"/>
    <w:rsid w:val="000E2916"/>
    <w:rsid w:val="000E33AA"/>
    <w:rsid w:val="000E3B2C"/>
    <w:rsid w:val="000E412C"/>
    <w:rsid w:val="000E4726"/>
    <w:rsid w:val="000E4734"/>
    <w:rsid w:val="000E5550"/>
    <w:rsid w:val="000E57D4"/>
    <w:rsid w:val="000E5E96"/>
    <w:rsid w:val="000E6496"/>
    <w:rsid w:val="000E7497"/>
    <w:rsid w:val="000E79EE"/>
    <w:rsid w:val="000E7DAE"/>
    <w:rsid w:val="000E7E00"/>
    <w:rsid w:val="000F045F"/>
    <w:rsid w:val="000F0659"/>
    <w:rsid w:val="000F07B0"/>
    <w:rsid w:val="000F0BD3"/>
    <w:rsid w:val="000F0DD9"/>
    <w:rsid w:val="000F0FA2"/>
    <w:rsid w:val="000F15DE"/>
    <w:rsid w:val="000F2BD1"/>
    <w:rsid w:val="000F3A6B"/>
    <w:rsid w:val="000F3F9F"/>
    <w:rsid w:val="000F44AC"/>
    <w:rsid w:val="000F4D85"/>
    <w:rsid w:val="000F4E37"/>
    <w:rsid w:val="000F5362"/>
    <w:rsid w:val="000F5AE3"/>
    <w:rsid w:val="000F62C7"/>
    <w:rsid w:val="000F6B14"/>
    <w:rsid w:val="000F7694"/>
    <w:rsid w:val="000F7B9D"/>
    <w:rsid w:val="00100222"/>
    <w:rsid w:val="00100909"/>
    <w:rsid w:val="00101534"/>
    <w:rsid w:val="001016FE"/>
    <w:rsid w:val="0010225B"/>
    <w:rsid w:val="001023EE"/>
    <w:rsid w:val="001029E1"/>
    <w:rsid w:val="00102D12"/>
    <w:rsid w:val="0010315A"/>
    <w:rsid w:val="00103216"/>
    <w:rsid w:val="00103665"/>
    <w:rsid w:val="00104B4D"/>
    <w:rsid w:val="0010519B"/>
    <w:rsid w:val="001065F9"/>
    <w:rsid w:val="00106A48"/>
    <w:rsid w:val="00106B14"/>
    <w:rsid w:val="00107135"/>
    <w:rsid w:val="00107220"/>
    <w:rsid w:val="001075D1"/>
    <w:rsid w:val="00110393"/>
    <w:rsid w:val="001105BB"/>
    <w:rsid w:val="00110865"/>
    <w:rsid w:val="00111830"/>
    <w:rsid w:val="00112178"/>
    <w:rsid w:val="001122EF"/>
    <w:rsid w:val="00112B6B"/>
    <w:rsid w:val="00112E13"/>
    <w:rsid w:val="0011302B"/>
    <w:rsid w:val="00113314"/>
    <w:rsid w:val="001137F3"/>
    <w:rsid w:val="00113C51"/>
    <w:rsid w:val="00113F6D"/>
    <w:rsid w:val="00114636"/>
    <w:rsid w:val="00114F6D"/>
    <w:rsid w:val="0011607F"/>
    <w:rsid w:val="001161A2"/>
    <w:rsid w:val="00116371"/>
    <w:rsid w:val="0011680B"/>
    <w:rsid w:val="00116A24"/>
    <w:rsid w:val="00116DF4"/>
    <w:rsid w:val="0011709B"/>
    <w:rsid w:val="001170D9"/>
    <w:rsid w:val="001178B0"/>
    <w:rsid w:val="001178CE"/>
    <w:rsid w:val="00117AE4"/>
    <w:rsid w:val="001203FB"/>
    <w:rsid w:val="00120478"/>
    <w:rsid w:val="001204E7"/>
    <w:rsid w:val="00120726"/>
    <w:rsid w:val="0012080B"/>
    <w:rsid w:val="0012094F"/>
    <w:rsid w:val="00120A1D"/>
    <w:rsid w:val="00120F0F"/>
    <w:rsid w:val="001210B8"/>
    <w:rsid w:val="0012171C"/>
    <w:rsid w:val="00121C5D"/>
    <w:rsid w:val="00121D98"/>
    <w:rsid w:val="0012459E"/>
    <w:rsid w:val="00124782"/>
    <w:rsid w:val="0012487B"/>
    <w:rsid w:val="00124D41"/>
    <w:rsid w:val="00125F54"/>
    <w:rsid w:val="0012702D"/>
    <w:rsid w:val="00127907"/>
    <w:rsid w:val="00127E2F"/>
    <w:rsid w:val="001308DD"/>
    <w:rsid w:val="00130AB3"/>
    <w:rsid w:val="00133A83"/>
    <w:rsid w:val="00134044"/>
    <w:rsid w:val="00134539"/>
    <w:rsid w:val="00134EFA"/>
    <w:rsid w:val="00136321"/>
    <w:rsid w:val="0013646B"/>
    <w:rsid w:val="00136674"/>
    <w:rsid w:val="0013688B"/>
    <w:rsid w:val="001378EF"/>
    <w:rsid w:val="00140AE1"/>
    <w:rsid w:val="00140EAA"/>
    <w:rsid w:val="001410BA"/>
    <w:rsid w:val="001420ED"/>
    <w:rsid w:val="00142DD8"/>
    <w:rsid w:val="00143486"/>
    <w:rsid w:val="00143530"/>
    <w:rsid w:val="0014359D"/>
    <w:rsid w:val="00144307"/>
    <w:rsid w:val="00144661"/>
    <w:rsid w:val="0014494D"/>
    <w:rsid w:val="0014588A"/>
    <w:rsid w:val="0014593C"/>
    <w:rsid w:val="001464F6"/>
    <w:rsid w:val="00146B9F"/>
    <w:rsid w:val="00146F69"/>
    <w:rsid w:val="0014790C"/>
    <w:rsid w:val="001479FA"/>
    <w:rsid w:val="00147B0B"/>
    <w:rsid w:val="00150015"/>
    <w:rsid w:val="001505B0"/>
    <w:rsid w:val="00150777"/>
    <w:rsid w:val="00150830"/>
    <w:rsid w:val="00150DF1"/>
    <w:rsid w:val="00150F88"/>
    <w:rsid w:val="001512BD"/>
    <w:rsid w:val="00151452"/>
    <w:rsid w:val="00151D21"/>
    <w:rsid w:val="00151D54"/>
    <w:rsid w:val="00151FBA"/>
    <w:rsid w:val="00152DC3"/>
    <w:rsid w:val="00153082"/>
    <w:rsid w:val="001535F3"/>
    <w:rsid w:val="001544AE"/>
    <w:rsid w:val="00154AA9"/>
    <w:rsid w:val="00155C1D"/>
    <w:rsid w:val="00156050"/>
    <w:rsid w:val="00156447"/>
    <w:rsid w:val="001565D8"/>
    <w:rsid w:val="001571B6"/>
    <w:rsid w:val="001573F3"/>
    <w:rsid w:val="001579D6"/>
    <w:rsid w:val="00157A11"/>
    <w:rsid w:val="00160E6D"/>
    <w:rsid w:val="00160F51"/>
    <w:rsid w:val="0016101C"/>
    <w:rsid w:val="0016125A"/>
    <w:rsid w:val="0016186B"/>
    <w:rsid w:val="001618EF"/>
    <w:rsid w:val="0016228C"/>
    <w:rsid w:val="0016230C"/>
    <w:rsid w:val="001627CC"/>
    <w:rsid w:val="00162C66"/>
    <w:rsid w:val="00162E96"/>
    <w:rsid w:val="00162F92"/>
    <w:rsid w:val="00163063"/>
    <w:rsid w:val="0016331A"/>
    <w:rsid w:val="001633AC"/>
    <w:rsid w:val="00164A27"/>
    <w:rsid w:val="00164BD5"/>
    <w:rsid w:val="00164C56"/>
    <w:rsid w:val="00165114"/>
    <w:rsid w:val="001654A6"/>
    <w:rsid w:val="00165C66"/>
    <w:rsid w:val="00165CCD"/>
    <w:rsid w:val="00165ECA"/>
    <w:rsid w:val="00165F42"/>
    <w:rsid w:val="0016706E"/>
    <w:rsid w:val="00167325"/>
    <w:rsid w:val="0016740F"/>
    <w:rsid w:val="00170496"/>
    <w:rsid w:val="00170909"/>
    <w:rsid w:val="00170E92"/>
    <w:rsid w:val="0017214E"/>
    <w:rsid w:val="001726D7"/>
    <w:rsid w:val="00172AAD"/>
    <w:rsid w:val="00172ECE"/>
    <w:rsid w:val="00173334"/>
    <w:rsid w:val="001737AF"/>
    <w:rsid w:val="001739D3"/>
    <w:rsid w:val="00173AA8"/>
    <w:rsid w:val="00173E45"/>
    <w:rsid w:val="00174017"/>
    <w:rsid w:val="00174269"/>
    <w:rsid w:val="00174D4D"/>
    <w:rsid w:val="00174E01"/>
    <w:rsid w:val="001756BB"/>
    <w:rsid w:val="001763F9"/>
    <w:rsid w:val="0017663A"/>
    <w:rsid w:val="00176AFC"/>
    <w:rsid w:val="00177BBF"/>
    <w:rsid w:val="00177D84"/>
    <w:rsid w:val="00177DD4"/>
    <w:rsid w:val="00177EFF"/>
    <w:rsid w:val="00180A13"/>
    <w:rsid w:val="00181037"/>
    <w:rsid w:val="00181CB1"/>
    <w:rsid w:val="00182967"/>
    <w:rsid w:val="00182F3D"/>
    <w:rsid w:val="00183058"/>
    <w:rsid w:val="00183EC1"/>
    <w:rsid w:val="00183F45"/>
    <w:rsid w:val="0018445A"/>
    <w:rsid w:val="00185975"/>
    <w:rsid w:val="001859F2"/>
    <w:rsid w:val="00186E04"/>
    <w:rsid w:val="0018719C"/>
    <w:rsid w:val="001874DE"/>
    <w:rsid w:val="00187C8D"/>
    <w:rsid w:val="001902F4"/>
    <w:rsid w:val="001905AF"/>
    <w:rsid w:val="00190734"/>
    <w:rsid w:val="00190CB4"/>
    <w:rsid w:val="00190E92"/>
    <w:rsid w:val="0019137C"/>
    <w:rsid w:val="0019214B"/>
    <w:rsid w:val="0019270B"/>
    <w:rsid w:val="00192D7E"/>
    <w:rsid w:val="00192EBF"/>
    <w:rsid w:val="0019316C"/>
    <w:rsid w:val="00193534"/>
    <w:rsid w:val="001939C3"/>
    <w:rsid w:val="00194CC9"/>
    <w:rsid w:val="00194F2D"/>
    <w:rsid w:val="0019545B"/>
    <w:rsid w:val="00195770"/>
    <w:rsid w:val="00195B94"/>
    <w:rsid w:val="00195F51"/>
    <w:rsid w:val="00196E1B"/>
    <w:rsid w:val="0019710C"/>
    <w:rsid w:val="00197755"/>
    <w:rsid w:val="00197A9B"/>
    <w:rsid w:val="00197A9D"/>
    <w:rsid w:val="001A021A"/>
    <w:rsid w:val="001A02D9"/>
    <w:rsid w:val="001A12EE"/>
    <w:rsid w:val="001A1414"/>
    <w:rsid w:val="001A3611"/>
    <w:rsid w:val="001A3BF8"/>
    <w:rsid w:val="001A5CCF"/>
    <w:rsid w:val="001A5ECC"/>
    <w:rsid w:val="001A69F5"/>
    <w:rsid w:val="001A76BF"/>
    <w:rsid w:val="001A7727"/>
    <w:rsid w:val="001B0834"/>
    <w:rsid w:val="001B093B"/>
    <w:rsid w:val="001B0E0F"/>
    <w:rsid w:val="001B1064"/>
    <w:rsid w:val="001B172F"/>
    <w:rsid w:val="001B22C5"/>
    <w:rsid w:val="001B24D1"/>
    <w:rsid w:val="001B2C44"/>
    <w:rsid w:val="001B2E87"/>
    <w:rsid w:val="001B30C2"/>
    <w:rsid w:val="001B3C2E"/>
    <w:rsid w:val="001B3FB6"/>
    <w:rsid w:val="001B4071"/>
    <w:rsid w:val="001B4D04"/>
    <w:rsid w:val="001B4FB7"/>
    <w:rsid w:val="001B566C"/>
    <w:rsid w:val="001B5B34"/>
    <w:rsid w:val="001B6FDC"/>
    <w:rsid w:val="001B788B"/>
    <w:rsid w:val="001C04EF"/>
    <w:rsid w:val="001C0746"/>
    <w:rsid w:val="001C091D"/>
    <w:rsid w:val="001C0B2F"/>
    <w:rsid w:val="001C0F3D"/>
    <w:rsid w:val="001C1ACF"/>
    <w:rsid w:val="001C1CD2"/>
    <w:rsid w:val="001C1F60"/>
    <w:rsid w:val="001C2616"/>
    <w:rsid w:val="001C37BC"/>
    <w:rsid w:val="001C3A24"/>
    <w:rsid w:val="001C40C9"/>
    <w:rsid w:val="001C41EE"/>
    <w:rsid w:val="001C4DE2"/>
    <w:rsid w:val="001C4F9A"/>
    <w:rsid w:val="001C6234"/>
    <w:rsid w:val="001C66D0"/>
    <w:rsid w:val="001C748E"/>
    <w:rsid w:val="001C7C24"/>
    <w:rsid w:val="001C7EF2"/>
    <w:rsid w:val="001D17D9"/>
    <w:rsid w:val="001D1E49"/>
    <w:rsid w:val="001D1FBB"/>
    <w:rsid w:val="001D230B"/>
    <w:rsid w:val="001D275B"/>
    <w:rsid w:val="001D29E2"/>
    <w:rsid w:val="001D2DBD"/>
    <w:rsid w:val="001D3B11"/>
    <w:rsid w:val="001D40EF"/>
    <w:rsid w:val="001D41F2"/>
    <w:rsid w:val="001D519C"/>
    <w:rsid w:val="001D540F"/>
    <w:rsid w:val="001D57F1"/>
    <w:rsid w:val="001D6612"/>
    <w:rsid w:val="001D69EE"/>
    <w:rsid w:val="001D6A77"/>
    <w:rsid w:val="001D73FC"/>
    <w:rsid w:val="001D7C87"/>
    <w:rsid w:val="001E02CF"/>
    <w:rsid w:val="001E0BC4"/>
    <w:rsid w:val="001E0D33"/>
    <w:rsid w:val="001E1D6D"/>
    <w:rsid w:val="001E2764"/>
    <w:rsid w:val="001E2D4D"/>
    <w:rsid w:val="001E31F6"/>
    <w:rsid w:val="001E3415"/>
    <w:rsid w:val="001E39D1"/>
    <w:rsid w:val="001E4BF2"/>
    <w:rsid w:val="001E4C34"/>
    <w:rsid w:val="001E4F21"/>
    <w:rsid w:val="001E58AF"/>
    <w:rsid w:val="001E5924"/>
    <w:rsid w:val="001E630F"/>
    <w:rsid w:val="001E6939"/>
    <w:rsid w:val="001E6A78"/>
    <w:rsid w:val="001E7543"/>
    <w:rsid w:val="001E7C4D"/>
    <w:rsid w:val="001F0435"/>
    <w:rsid w:val="001F05E5"/>
    <w:rsid w:val="001F0DCB"/>
    <w:rsid w:val="001F1A12"/>
    <w:rsid w:val="001F1C77"/>
    <w:rsid w:val="001F2302"/>
    <w:rsid w:val="001F2EE6"/>
    <w:rsid w:val="001F38C3"/>
    <w:rsid w:val="001F397D"/>
    <w:rsid w:val="001F42A1"/>
    <w:rsid w:val="001F4408"/>
    <w:rsid w:val="001F46FB"/>
    <w:rsid w:val="001F47AE"/>
    <w:rsid w:val="001F487F"/>
    <w:rsid w:val="001F4C95"/>
    <w:rsid w:val="001F5505"/>
    <w:rsid w:val="001F5CA1"/>
    <w:rsid w:val="001F5EF1"/>
    <w:rsid w:val="001F5FAC"/>
    <w:rsid w:val="001F6BB4"/>
    <w:rsid w:val="001F72E9"/>
    <w:rsid w:val="001F78D0"/>
    <w:rsid w:val="001F7966"/>
    <w:rsid w:val="001F7FBF"/>
    <w:rsid w:val="00200711"/>
    <w:rsid w:val="00200B06"/>
    <w:rsid w:val="00202B13"/>
    <w:rsid w:val="00202EE4"/>
    <w:rsid w:val="00202F2C"/>
    <w:rsid w:val="00202F8F"/>
    <w:rsid w:val="00203558"/>
    <w:rsid w:val="002038B7"/>
    <w:rsid w:val="002039A1"/>
    <w:rsid w:val="00204128"/>
    <w:rsid w:val="002047D4"/>
    <w:rsid w:val="00205773"/>
    <w:rsid w:val="002058A3"/>
    <w:rsid w:val="002058E0"/>
    <w:rsid w:val="002059DD"/>
    <w:rsid w:val="00206745"/>
    <w:rsid w:val="00206B2B"/>
    <w:rsid w:val="00206D0A"/>
    <w:rsid w:val="00207550"/>
    <w:rsid w:val="0020786B"/>
    <w:rsid w:val="00207E85"/>
    <w:rsid w:val="0021029A"/>
    <w:rsid w:val="00210555"/>
    <w:rsid w:val="0021115E"/>
    <w:rsid w:val="002115C9"/>
    <w:rsid w:val="002116D6"/>
    <w:rsid w:val="0021181A"/>
    <w:rsid w:val="00211916"/>
    <w:rsid w:val="00211979"/>
    <w:rsid w:val="00211E08"/>
    <w:rsid w:val="00213901"/>
    <w:rsid w:val="00213AC6"/>
    <w:rsid w:val="00213C62"/>
    <w:rsid w:val="00213E4B"/>
    <w:rsid w:val="00214027"/>
    <w:rsid w:val="0021436B"/>
    <w:rsid w:val="00214497"/>
    <w:rsid w:val="00214A92"/>
    <w:rsid w:val="0021552E"/>
    <w:rsid w:val="00215AFE"/>
    <w:rsid w:val="00215DCD"/>
    <w:rsid w:val="00216066"/>
    <w:rsid w:val="00216549"/>
    <w:rsid w:val="00216A18"/>
    <w:rsid w:val="002170C8"/>
    <w:rsid w:val="00217453"/>
    <w:rsid w:val="002177E3"/>
    <w:rsid w:val="002178B9"/>
    <w:rsid w:val="00217DA4"/>
    <w:rsid w:val="00220813"/>
    <w:rsid w:val="00221A16"/>
    <w:rsid w:val="00222038"/>
    <w:rsid w:val="00222606"/>
    <w:rsid w:val="0022268A"/>
    <w:rsid w:val="002226C5"/>
    <w:rsid w:val="002232F7"/>
    <w:rsid w:val="00223616"/>
    <w:rsid w:val="00224394"/>
    <w:rsid w:val="00225ADB"/>
    <w:rsid w:val="0022648B"/>
    <w:rsid w:val="00226772"/>
    <w:rsid w:val="00227C65"/>
    <w:rsid w:val="0023019B"/>
    <w:rsid w:val="00230F17"/>
    <w:rsid w:val="00231C73"/>
    <w:rsid w:val="00231E58"/>
    <w:rsid w:val="00231E5B"/>
    <w:rsid w:val="002322E8"/>
    <w:rsid w:val="00233329"/>
    <w:rsid w:val="00233C97"/>
    <w:rsid w:val="00233EA1"/>
    <w:rsid w:val="00234238"/>
    <w:rsid w:val="00234301"/>
    <w:rsid w:val="00235CEA"/>
    <w:rsid w:val="00236053"/>
    <w:rsid w:val="00236CFE"/>
    <w:rsid w:val="002370F4"/>
    <w:rsid w:val="00237367"/>
    <w:rsid w:val="0023757E"/>
    <w:rsid w:val="00237805"/>
    <w:rsid w:val="00237808"/>
    <w:rsid w:val="00237C8B"/>
    <w:rsid w:val="00237D68"/>
    <w:rsid w:val="0024009D"/>
    <w:rsid w:val="00240266"/>
    <w:rsid w:val="00241109"/>
    <w:rsid w:val="00241975"/>
    <w:rsid w:val="00242573"/>
    <w:rsid w:val="00243AB0"/>
    <w:rsid w:val="00243B56"/>
    <w:rsid w:val="00243FFD"/>
    <w:rsid w:val="002442BE"/>
    <w:rsid w:val="00244D61"/>
    <w:rsid w:val="00244E9C"/>
    <w:rsid w:val="00244EE9"/>
    <w:rsid w:val="00245063"/>
    <w:rsid w:val="0024507F"/>
    <w:rsid w:val="0024515A"/>
    <w:rsid w:val="00245279"/>
    <w:rsid w:val="00245A6B"/>
    <w:rsid w:val="00245CD5"/>
    <w:rsid w:val="00245DDD"/>
    <w:rsid w:val="00246135"/>
    <w:rsid w:val="0024677B"/>
    <w:rsid w:val="00246858"/>
    <w:rsid w:val="00246B8A"/>
    <w:rsid w:val="00246CD1"/>
    <w:rsid w:val="00247057"/>
    <w:rsid w:val="002473A4"/>
    <w:rsid w:val="00247D94"/>
    <w:rsid w:val="002503BC"/>
    <w:rsid w:val="00250C7F"/>
    <w:rsid w:val="00251528"/>
    <w:rsid w:val="00251632"/>
    <w:rsid w:val="00251A34"/>
    <w:rsid w:val="00251B7B"/>
    <w:rsid w:val="002524B8"/>
    <w:rsid w:val="00252507"/>
    <w:rsid w:val="00253592"/>
    <w:rsid w:val="00253E60"/>
    <w:rsid w:val="0025400E"/>
    <w:rsid w:val="0025408C"/>
    <w:rsid w:val="00254834"/>
    <w:rsid w:val="00254A94"/>
    <w:rsid w:val="00256BA6"/>
    <w:rsid w:val="00257A84"/>
    <w:rsid w:val="00260C0C"/>
    <w:rsid w:val="00260D73"/>
    <w:rsid w:val="0026164C"/>
    <w:rsid w:val="0026176D"/>
    <w:rsid w:val="002619EC"/>
    <w:rsid w:val="00261A0A"/>
    <w:rsid w:val="00261A3C"/>
    <w:rsid w:val="00261EF2"/>
    <w:rsid w:val="00262438"/>
    <w:rsid w:val="002624DC"/>
    <w:rsid w:val="00262835"/>
    <w:rsid w:val="002631A5"/>
    <w:rsid w:val="00263B3A"/>
    <w:rsid w:val="002657F4"/>
    <w:rsid w:val="00265C57"/>
    <w:rsid w:val="00266527"/>
    <w:rsid w:val="00266574"/>
    <w:rsid w:val="00266624"/>
    <w:rsid w:val="00266859"/>
    <w:rsid w:val="00266B6F"/>
    <w:rsid w:val="00266CFC"/>
    <w:rsid w:val="00266F05"/>
    <w:rsid w:val="00266FA5"/>
    <w:rsid w:val="00267848"/>
    <w:rsid w:val="002678EA"/>
    <w:rsid w:val="00267B2C"/>
    <w:rsid w:val="002701CC"/>
    <w:rsid w:val="002703D3"/>
    <w:rsid w:val="00271712"/>
    <w:rsid w:val="00271B83"/>
    <w:rsid w:val="00272092"/>
    <w:rsid w:val="00272572"/>
    <w:rsid w:val="00272D90"/>
    <w:rsid w:val="00273009"/>
    <w:rsid w:val="00274001"/>
    <w:rsid w:val="002745CC"/>
    <w:rsid w:val="00274BE4"/>
    <w:rsid w:val="00274CB8"/>
    <w:rsid w:val="00275730"/>
    <w:rsid w:val="00275FBB"/>
    <w:rsid w:val="00276069"/>
    <w:rsid w:val="00276245"/>
    <w:rsid w:val="00276660"/>
    <w:rsid w:val="00276DE9"/>
    <w:rsid w:val="00276F1E"/>
    <w:rsid w:val="00276F7F"/>
    <w:rsid w:val="00277366"/>
    <w:rsid w:val="00277573"/>
    <w:rsid w:val="002806DD"/>
    <w:rsid w:val="00280A3B"/>
    <w:rsid w:val="00280E23"/>
    <w:rsid w:val="002811FF"/>
    <w:rsid w:val="00281597"/>
    <w:rsid w:val="00281866"/>
    <w:rsid w:val="00281AB5"/>
    <w:rsid w:val="00281CA6"/>
    <w:rsid w:val="00282077"/>
    <w:rsid w:val="002822B6"/>
    <w:rsid w:val="002835E9"/>
    <w:rsid w:val="0028481E"/>
    <w:rsid w:val="0028489B"/>
    <w:rsid w:val="00285FBC"/>
    <w:rsid w:val="00286091"/>
    <w:rsid w:val="00286543"/>
    <w:rsid w:val="00286786"/>
    <w:rsid w:val="00287485"/>
    <w:rsid w:val="00287CCD"/>
    <w:rsid w:val="00290256"/>
    <w:rsid w:val="00290535"/>
    <w:rsid w:val="00290665"/>
    <w:rsid w:val="002906CC"/>
    <w:rsid w:val="002916D8"/>
    <w:rsid w:val="002924B4"/>
    <w:rsid w:val="0029308C"/>
    <w:rsid w:val="00293675"/>
    <w:rsid w:val="002939DD"/>
    <w:rsid w:val="00293A29"/>
    <w:rsid w:val="00293CB3"/>
    <w:rsid w:val="00293D63"/>
    <w:rsid w:val="00293EE6"/>
    <w:rsid w:val="002946F7"/>
    <w:rsid w:val="002955CF"/>
    <w:rsid w:val="002958C7"/>
    <w:rsid w:val="00296374"/>
    <w:rsid w:val="0029662D"/>
    <w:rsid w:val="00297479"/>
    <w:rsid w:val="00297766"/>
    <w:rsid w:val="002979E6"/>
    <w:rsid w:val="00297DEF"/>
    <w:rsid w:val="002A0057"/>
    <w:rsid w:val="002A066E"/>
    <w:rsid w:val="002A0A2D"/>
    <w:rsid w:val="002A0B53"/>
    <w:rsid w:val="002A1200"/>
    <w:rsid w:val="002A1677"/>
    <w:rsid w:val="002A2C28"/>
    <w:rsid w:val="002A322C"/>
    <w:rsid w:val="002A323D"/>
    <w:rsid w:val="002A36B6"/>
    <w:rsid w:val="002A40CA"/>
    <w:rsid w:val="002A48FB"/>
    <w:rsid w:val="002A4E13"/>
    <w:rsid w:val="002A5CE3"/>
    <w:rsid w:val="002A67E2"/>
    <w:rsid w:val="002A6834"/>
    <w:rsid w:val="002A7F50"/>
    <w:rsid w:val="002B0137"/>
    <w:rsid w:val="002B023B"/>
    <w:rsid w:val="002B036D"/>
    <w:rsid w:val="002B0584"/>
    <w:rsid w:val="002B0736"/>
    <w:rsid w:val="002B1271"/>
    <w:rsid w:val="002B1394"/>
    <w:rsid w:val="002B2BB7"/>
    <w:rsid w:val="002B2F1A"/>
    <w:rsid w:val="002B3260"/>
    <w:rsid w:val="002B45D5"/>
    <w:rsid w:val="002B477C"/>
    <w:rsid w:val="002B4B93"/>
    <w:rsid w:val="002B4C90"/>
    <w:rsid w:val="002B4E37"/>
    <w:rsid w:val="002B5000"/>
    <w:rsid w:val="002B5235"/>
    <w:rsid w:val="002B5F90"/>
    <w:rsid w:val="002B613F"/>
    <w:rsid w:val="002B66EC"/>
    <w:rsid w:val="002B702C"/>
    <w:rsid w:val="002B7726"/>
    <w:rsid w:val="002B7DBC"/>
    <w:rsid w:val="002C03DD"/>
    <w:rsid w:val="002C111E"/>
    <w:rsid w:val="002C117A"/>
    <w:rsid w:val="002C27F0"/>
    <w:rsid w:val="002C299C"/>
    <w:rsid w:val="002C2CAB"/>
    <w:rsid w:val="002C3452"/>
    <w:rsid w:val="002C3629"/>
    <w:rsid w:val="002C3833"/>
    <w:rsid w:val="002C5017"/>
    <w:rsid w:val="002C5585"/>
    <w:rsid w:val="002C56BF"/>
    <w:rsid w:val="002C59E4"/>
    <w:rsid w:val="002C5A4D"/>
    <w:rsid w:val="002C7220"/>
    <w:rsid w:val="002D13CA"/>
    <w:rsid w:val="002D17AB"/>
    <w:rsid w:val="002D1A84"/>
    <w:rsid w:val="002D2A73"/>
    <w:rsid w:val="002D2D41"/>
    <w:rsid w:val="002D3A4E"/>
    <w:rsid w:val="002D3B8E"/>
    <w:rsid w:val="002D3E41"/>
    <w:rsid w:val="002D4461"/>
    <w:rsid w:val="002D4AED"/>
    <w:rsid w:val="002D4BA6"/>
    <w:rsid w:val="002D4D72"/>
    <w:rsid w:val="002D4F05"/>
    <w:rsid w:val="002D4F88"/>
    <w:rsid w:val="002D5687"/>
    <w:rsid w:val="002D5ABF"/>
    <w:rsid w:val="002D73DC"/>
    <w:rsid w:val="002D7839"/>
    <w:rsid w:val="002E01DA"/>
    <w:rsid w:val="002E028B"/>
    <w:rsid w:val="002E043C"/>
    <w:rsid w:val="002E08AB"/>
    <w:rsid w:val="002E16C1"/>
    <w:rsid w:val="002E2550"/>
    <w:rsid w:val="002E288D"/>
    <w:rsid w:val="002E4673"/>
    <w:rsid w:val="002E482F"/>
    <w:rsid w:val="002E58F2"/>
    <w:rsid w:val="002E5A6F"/>
    <w:rsid w:val="002E65F1"/>
    <w:rsid w:val="002E68EB"/>
    <w:rsid w:val="002E767F"/>
    <w:rsid w:val="002E7A95"/>
    <w:rsid w:val="002E7F2B"/>
    <w:rsid w:val="002F00DE"/>
    <w:rsid w:val="002F17C6"/>
    <w:rsid w:val="002F2522"/>
    <w:rsid w:val="002F2FC5"/>
    <w:rsid w:val="002F30CE"/>
    <w:rsid w:val="002F33B5"/>
    <w:rsid w:val="002F34D4"/>
    <w:rsid w:val="002F3660"/>
    <w:rsid w:val="002F369F"/>
    <w:rsid w:val="002F3E7E"/>
    <w:rsid w:val="002F463B"/>
    <w:rsid w:val="002F5F46"/>
    <w:rsid w:val="002F63E5"/>
    <w:rsid w:val="002F6402"/>
    <w:rsid w:val="002F6517"/>
    <w:rsid w:val="002F6824"/>
    <w:rsid w:val="002F68E9"/>
    <w:rsid w:val="002F6A17"/>
    <w:rsid w:val="002F6B3D"/>
    <w:rsid w:val="003011F5"/>
    <w:rsid w:val="003016B4"/>
    <w:rsid w:val="0030194A"/>
    <w:rsid w:val="003023D6"/>
    <w:rsid w:val="00302587"/>
    <w:rsid w:val="00302A6F"/>
    <w:rsid w:val="00303F9E"/>
    <w:rsid w:val="00303FF8"/>
    <w:rsid w:val="00304787"/>
    <w:rsid w:val="003048B3"/>
    <w:rsid w:val="003056E4"/>
    <w:rsid w:val="00305C5C"/>
    <w:rsid w:val="0030656C"/>
    <w:rsid w:val="0030663D"/>
    <w:rsid w:val="00306A67"/>
    <w:rsid w:val="00307389"/>
    <w:rsid w:val="0030757A"/>
    <w:rsid w:val="003076F3"/>
    <w:rsid w:val="00307B22"/>
    <w:rsid w:val="00310016"/>
    <w:rsid w:val="0031015E"/>
    <w:rsid w:val="003106D8"/>
    <w:rsid w:val="00311338"/>
    <w:rsid w:val="003126CE"/>
    <w:rsid w:val="00312865"/>
    <w:rsid w:val="00312C06"/>
    <w:rsid w:val="00312D50"/>
    <w:rsid w:val="003138A5"/>
    <w:rsid w:val="00313F70"/>
    <w:rsid w:val="00313FA9"/>
    <w:rsid w:val="0031402C"/>
    <w:rsid w:val="00314AD9"/>
    <w:rsid w:val="00314FA1"/>
    <w:rsid w:val="00315733"/>
    <w:rsid w:val="003158EE"/>
    <w:rsid w:val="00315A66"/>
    <w:rsid w:val="00315A89"/>
    <w:rsid w:val="00316D26"/>
    <w:rsid w:val="003174E5"/>
    <w:rsid w:val="00317C08"/>
    <w:rsid w:val="00320296"/>
    <w:rsid w:val="003211A6"/>
    <w:rsid w:val="00321AE9"/>
    <w:rsid w:val="00321D1F"/>
    <w:rsid w:val="00322506"/>
    <w:rsid w:val="003230A8"/>
    <w:rsid w:val="0032314D"/>
    <w:rsid w:val="00323510"/>
    <w:rsid w:val="003238BA"/>
    <w:rsid w:val="00323A07"/>
    <w:rsid w:val="0032436A"/>
    <w:rsid w:val="003248F3"/>
    <w:rsid w:val="00325BC5"/>
    <w:rsid w:val="00325E8B"/>
    <w:rsid w:val="0032668F"/>
    <w:rsid w:val="003266D3"/>
    <w:rsid w:val="00330247"/>
    <w:rsid w:val="0033070B"/>
    <w:rsid w:val="003309EC"/>
    <w:rsid w:val="00330FEB"/>
    <w:rsid w:val="003312B2"/>
    <w:rsid w:val="00331E85"/>
    <w:rsid w:val="003321E7"/>
    <w:rsid w:val="0033245F"/>
    <w:rsid w:val="003325E3"/>
    <w:rsid w:val="00333231"/>
    <w:rsid w:val="003334AA"/>
    <w:rsid w:val="00333596"/>
    <w:rsid w:val="003345E7"/>
    <w:rsid w:val="00334782"/>
    <w:rsid w:val="00335967"/>
    <w:rsid w:val="00335C8C"/>
    <w:rsid w:val="00336C18"/>
    <w:rsid w:val="00336D4B"/>
    <w:rsid w:val="00336DAE"/>
    <w:rsid w:val="003374CE"/>
    <w:rsid w:val="003375AD"/>
    <w:rsid w:val="00337B04"/>
    <w:rsid w:val="00337BCD"/>
    <w:rsid w:val="00337C0E"/>
    <w:rsid w:val="00340889"/>
    <w:rsid w:val="003408C8"/>
    <w:rsid w:val="00341232"/>
    <w:rsid w:val="00341FFE"/>
    <w:rsid w:val="00342970"/>
    <w:rsid w:val="00342C3C"/>
    <w:rsid w:val="00342F42"/>
    <w:rsid w:val="00344534"/>
    <w:rsid w:val="0034526A"/>
    <w:rsid w:val="003454EA"/>
    <w:rsid w:val="0034597C"/>
    <w:rsid w:val="003465F1"/>
    <w:rsid w:val="0034693B"/>
    <w:rsid w:val="00347181"/>
    <w:rsid w:val="00347CBF"/>
    <w:rsid w:val="00347FED"/>
    <w:rsid w:val="00350417"/>
    <w:rsid w:val="00350B8C"/>
    <w:rsid w:val="00350D31"/>
    <w:rsid w:val="0035162B"/>
    <w:rsid w:val="003526AC"/>
    <w:rsid w:val="00352943"/>
    <w:rsid w:val="00352B8C"/>
    <w:rsid w:val="00352DF6"/>
    <w:rsid w:val="003530D5"/>
    <w:rsid w:val="00353661"/>
    <w:rsid w:val="00353688"/>
    <w:rsid w:val="00353B89"/>
    <w:rsid w:val="00354AC3"/>
    <w:rsid w:val="003557A7"/>
    <w:rsid w:val="00355888"/>
    <w:rsid w:val="00355985"/>
    <w:rsid w:val="00355CC6"/>
    <w:rsid w:val="0035625F"/>
    <w:rsid w:val="003572FC"/>
    <w:rsid w:val="0035798A"/>
    <w:rsid w:val="00357FAE"/>
    <w:rsid w:val="00360135"/>
    <w:rsid w:val="00360F10"/>
    <w:rsid w:val="0036110B"/>
    <w:rsid w:val="003614CA"/>
    <w:rsid w:val="00361680"/>
    <w:rsid w:val="00361720"/>
    <w:rsid w:val="00361C24"/>
    <w:rsid w:val="00362179"/>
    <w:rsid w:val="003621B9"/>
    <w:rsid w:val="00362A1E"/>
    <w:rsid w:val="00363247"/>
    <w:rsid w:val="00363733"/>
    <w:rsid w:val="003643B6"/>
    <w:rsid w:val="003644BF"/>
    <w:rsid w:val="00365304"/>
    <w:rsid w:val="00365438"/>
    <w:rsid w:val="00365931"/>
    <w:rsid w:val="00366610"/>
    <w:rsid w:val="003667F0"/>
    <w:rsid w:val="0036711F"/>
    <w:rsid w:val="00367485"/>
    <w:rsid w:val="00367CDF"/>
    <w:rsid w:val="00367F73"/>
    <w:rsid w:val="00370144"/>
    <w:rsid w:val="00370D0E"/>
    <w:rsid w:val="00370E2B"/>
    <w:rsid w:val="00370E4B"/>
    <w:rsid w:val="00371299"/>
    <w:rsid w:val="00371334"/>
    <w:rsid w:val="00371932"/>
    <w:rsid w:val="00371D13"/>
    <w:rsid w:val="00372147"/>
    <w:rsid w:val="00372257"/>
    <w:rsid w:val="0037265F"/>
    <w:rsid w:val="00372A9C"/>
    <w:rsid w:val="003735E9"/>
    <w:rsid w:val="00373B59"/>
    <w:rsid w:val="00373D45"/>
    <w:rsid w:val="0037437F"/>
    <w:rsid w:val="00374C67"/>
    <w:rsid w:val="00375776"/>
    <w:rsid w:val="00376052"/>
    <w:rsid w:val="00376A6C"/>
    <w:rsid w:val="00376DBD"/>
    <w:rsid w:val="0037751F"/>
    <w:rsid w:val="00377B88"/>
    <w:rsid w:val="00377C58"/>
    <w:rsid w:val="00377C6C"/>
    <w:rsid w:val="00377D2F"/>
    <w:rsid w:val="00377E4C"/>
    <w:rsid w:val="00381A14"/>
    <w:rsid w:val="00381D06"/>
    <w:rsid w:val="00381E0D"/>
    <w:rsid w:val="00382416"/>
    <w:rsid w:val="00382893"/>
    <w:rsid w:val="00384687"/>
    <w:rsid w:val="0038585D"/>
    <w:rsid w:val="00385906"/>
    <w:rsid w:val="003862CE"/>
    <w:rsid w:val="00386690"/>
    <w:rsid w:val="00386ABD"/>
    <w:rsid w:val="00387C30"/>
    <w:rsid w:val="0039018A"/>
    <w:rsid w:val="003902CD"/>
    <w:rsid w:val="00390B87"/>
    <w:rsid w:val="0039113B"/>
    <w:rsid w:val="0039157E"/>
    <w:rsid w:val="00391692"/>
    <w:rsid w:val="00392464"/>
    <w:rsid w:val="0039256E"/>
    <w:rsid w:val="00392A47"/>
    <w:rsid w:val="00392AB0"/>
    <w:rsid w:val="00392BFB"/>
    <w:rsid w:val="0039425F"/>
    <w:rsid w:val="003945F9"/>
    <w:rsid w:val="003946CD"/>
    <w:rsid w:val="0039486C"/>
    <w:rsid w:val="00395624"/>
    <w:rsid w:val="00395FAE"/>
    <w:rsid w:val="00396272"/>
    <w:rsid w:val="00397189"/>
    <w:rsid w:val="003A0774"/>
    <w:rsid w:val="003A1081"/>
    <w:rsid w:val="003A16CB"/>
    <w:rsid w:val="003A2028"/>
    <w:rsid w:val="003A3152"/>
    <w:rsid w:val="003A33CD"/>
    <w:rsid w:val="003A34DC"/>
    <w:rsid w:val="003A3DCA"/>
    <w:rsid w:val="003A44E7"/>
    <w:rsid w:val="003A4C7B"/>
    <w:rsid w:val="003A5DFD"/>
    <w:rsid w:val="003A5F3B"/>
    <w:rsid w:val="003A6937"/>
    <w:rsid w:val="003A69E2"/>
    <w:rsid w:val="003A6C55"/>
    <w:rsid w:val="003A6F30"/>
    <w:rsid w:val="003A73E2"/>
    <w:rsid w:val="003A78C2"/>
    <w:rsid w:val="003B0159"/>
    <w:rsid w:val="003B043A"/>
    <w:rsid w:val="003B103C"/>
    <w:rsid w:val="003B1139"/>
    <w:rsid w:val="003B1936"/>
    <w:rsid w:val="003B1D9B"/>
    <w:rsid w:val="003B254B"/>
    <w:rsid w:val="003B2D31"/>
    <w:rsid w:val="003B2D7F"/>
    <w:rsid w:val="003B4129"/>
    <w:rsid w:val="003B48EF"/>
    <w:rsid w:val="003B4F88"/>
    <w:rsid w:val="003B4FA0"/>
    <w:rsid w:val="003B521C"/>
    <w:rsid w:val="003B5707"/>
    <w:rsid w:val="003B5F05"/>
    <w:rsid w:val="003B6443"/>
    <w:rsid w:val="003B687B"/>
    <w:rsid w:val="003B6C4E"/>
    <w:rsid w:val="003B6D44"/>
    <w:rsid w:val="003B727A"/>
    <w:rsid w:val="003B74DC"/>
    <w:rsid w:val="003B786C"/>
    <w:rsid w:val="003B7DFC"/>
    <w:rsid w:val="003C03E9"/>
    <w:rsid w:val="003C0966"/>
    <w:rsid w:val="003C0AD3"/>
    <w:rsid w:val="003C1647"/>
    <w:rsid w:val="003C3742"/>
    <w:rsid w:val="003C38E5"/>
    <w:rsid w:val="003C3A77"/>
    <w:rsid w:val="003C479B"/>
    <w:rsid w:val="003C4A96"/>
    <w:rsid w:val="003C504A"/>
    <w:rsid w:val="003C5125"/>
    <w:rsid w:val="003C5673"/>
    <w:rsid w:val="003C5C14"/>
    <w:rsid w:val="003C6479"/>
    <w:rsid w:val="003C64C5"/>
    <w:rsid w:val="003C6DFA"/>
    <w:rsid w:val="003C7139"/>
    <w:rsid w:val="003C7543"/>
    <w:rsid w:val="003C7BE9"/>
    <w:rsid w:val="003C7EE2"/>
    <w:rsid w:val="003D0255"/>
    <w:rsid w:val="003D02C1"/>
    <w:rsid w:val="003D0499"/>
    <w:rsid w:val="003D1813"/>
    <w:rsid w:val="003D25C3"/>
    <w:rsid w:val="003D37F3"/>
    <w:rsid w:val="003D504E"/>
    <w:rsid w:val="003D5964"/>
    <w:rsid w:val="003D5981"/>
    <w:rsid w:val="003D5B14"/>
    <w:rsid w:val="003D5DD8"/>
    <w:rsid w:val="003D6071"/>
    <w:rsid w:val="003D6079"/>
    <w:rsid w:val="003D67DB"/>
    <w:rsid w:val="003D6D2B"/>
    <w:rsid w:val="003D7483"/>
    <w:rsid w:val="003D7C40"/>
    <w:rsid w:val="003E0523"/>
    <w:rsid w:val="003E12D4"/>
    <w:rsid w:val="003E18FF"/>
    <w:rsid w:val="003E22AD"/>
    <w:rsid w:val="003E3F49"/>
    <w:rsid w:val="003E4236"/>
    <w:rsid w:val="003E45D7"/>
    <w:rsid w:val="003E47B7"/>
    <w:rsid w:val="003E4A86"/>
    <w:rsid w:val="003E5499"/>
    <w:rsid w:val="003E549E"/>
    <w:rsid w:val="003E5B37"/>
    <w:rsid w:val="003E6766"/>
    <w:rsid w:val="003E704F"/>
    <w:rsid w:val="003E7714"/>
    <w:rsid w:val="003E78F5"/>
    <w:rsid w:val="003E7A6D"/>
    <w:rsid w:val="003E7B5B"/>
    <w:rsid w:val="003F04B0"/>
    <w:rsid w:val="003F0EF7"/>
    <w:rsid w:val="003F145E"/>
    <w:rsid w:val="003F1673"/>
    <w:rsid w:val="003F1909"/>
    <w:rsid w:val="003F24E1"/>
    <w:rsid w:val="003F265E"/>
    <w:rsid w:val="003F3263"/>
    <w:rsid w:val="003F3308"/>
    <w:rsid w:val="003F3483"/>
    <w:rsid w:val="003F3A7E"/>
    <w:rsid w:val="003F4A55"/>
    <w:rsid w:val="003F5330"/>
    <w:rsid w:val="003F5369"/>
    <w:rsid w:val="003F5394"/>
    <w:rsid w:val="003F54D6"/>
    <w:rsid w:val="003F6AB1"/>
    <w:rsid w:val="003F6BD5"/>
    <w:rsid w:val="003F6D4F"/>
    <w:rsid w:val="003F70E3"/>
    <w:rsid w:val="003F72AD"/>
    <w:rsid w:val="003F7BE6"/>
    <w:rsid w:val="004007B1"/>
    <w:rsid w:val="004008B0"/>
    <w:rsid w:val="00400C8A"/>
    <w:rsid w:val="00400CA6"/>
    <w:rsid w:val="00400F28"/>
    <w:rsid w:val="0040112C"/>
    <w:rsid w:val="004012FA"/>
    <w:rsid w:val="004023CF"/>
    <w:rsid w:val="00403157"/>
    <w:rsid w:val="004034A6"/>
    <w:rsid w:val="00403E10"/>
    <w:rsid w:val="00404433"/>
    <w:rsid w:val="0040453E"/>
    <w:rsid w:val="00404C2C"/>
    <w:rsid w:val="00405144"/>
    <w:rsid w:val="0040620A"/>
    <w:rsid w:val="004068CD"/>
    <w:rsid w:val="0040698F"/>
    <w:rsid w:val="0040749A"/>
    <w:rsid w:val="00407B07"/>
    <w:rsid w:val="004109C8"/>
    <w:rsid w:val="00410A21"/>
    <w:rsid w:val="00410C72"/>
    <w:rsid w:val="00411097"/>
    <w:rsid w:val="00411692"/>
    <w:rsid w:val="00411988"/>
    <w:rsid w:val="0041222F"/>
    <w:rsid w:val="00412839"/>
    <w:rsid w:val="004128F7"/>
    <w:rsid w:val="0041320B"/>
    <w:rsid w:val="004137D5"/>
    <w:rsid w:val="00413EB0"/>
    <w:rsid w:val="00413FD4"/>
    <w:rsid w:val="004141D6"/>
    <w:rsid w:val="0041484B"/>
    <w:rsid w:val="00415967"/>
    <w:rsid w:val="004160AD"/>
    <w:rsid w:val="00417002"/>
    <w:rsid w:val="00417962"/>
    <w:rsid w:val="00417A11"/>
    <w:rsid w:val="00417FC8"/>
    <w:rsid w:val="0042040B"/>
    <w:rsid w:val="00420615"/>
    <w:rsid w:val="004206B7"/>
    <w:rsid w:val="00420810"/>
    <w:rsid w:val="00420E58"/>
    <w:rsid w:val="00421A11"/>
    <w:rsid w:val="00421D64"/>
    <w:rsid w:val="00421E98"/>
    <w:rsid w:val="004223A7"/>
    <w:rsid w:val="004225DE"/>
    <w:rsid w:val="004231F9"/>
    <w:rsid w:val="00423728"/>
    <w:rsid w:val="00423A73"/>
    <w:rsid w:val="00423EDF"/>
    <w:rsid w:val="00424573"/>
    <w:rsid w:val="00424974"/>
    <w:rsid w:val="00425142"/>
    <w:rsid w:val="00425455"/>
    <w:rsid w:val="00425582"/>
    <w:rsid w:val="00425B7B"/>
    <w:rsid w:val="00425F64"/>
    <w:rsid w:val="00426BC8"/>
    <w:rsid w:val="00426BC9"/>
    <w:rsid w:val="00426DC4"/>
    <w:rsid w:val="00426F11"/>
    <w:rsid w:val="004274B3"/>
    <w:rsid w:val="004278E5"/>
    <w:rsid w:val="00430E56"/>
    <w:rsid w:val="0043124D"/>
    <w:rsid w:val="00431D86"/>
    <w:rsid w:val="0043210B"/>
    <w:rsid w:val="00434775"/>
    <w:rsid w:val="00434B3F"/>
    <w:rsid w:val="00434FC9"/>
    <w:rsid w:val="00435750"/>
    <w:rsid w:val="004358B9"/>
    <w:rsid w:val="00436381"/>
    <w:rsid w:val="0043649B"/>
    <w:rsid w:val="00436925"/>
    <w:rsid w:val="0043786A"/>
    <w:rsid w:val="00437D31"/>
    <w:rsid w:val="004414D4"/>
    <w:rsid w:val="004415D8"/>
    <w:rsid w:val="00441CCD"/>
    <w:rsid w:val="0044254D"/>
    <w:rsid w:val="0044291E"/>
    <w:rsid w:val="00442C2D"/>
    <w:rsid w:val="004434AB"/>
    <w:rsid w:val="00443605"/>
    <w:rsid w:val="00443736"/>
    <w:rsid w:val="00444EC3"/>
    <w:rsid w:val="004451F0"/>
    <w:rsid w:val="00445512"/>
    <w:rsid w:val="00445650"/>
    <w:rsid w:val="00445864"/>
    <w:rsid w:val="00446A8F"/>
    <w:rsid w:val="00446CA6"/>
    <w:rsid w:val="00446CB9"/>
    <w:rsid w:val="004470BF"/>
    <w:rsid w:val="0044721D"/>
    <w:rsid w:val="00450110"/>
    <w:rsid w:val="00450EA6"/>
    <w:rsid w:val="00451B89"/>
    <w:rsid w:val="00452151"/>
    <w:rsid w:val="00452174"/>
    <w:rsid w:val="00452291"/>
    <w:rsid w:val="00452350"/>
    <w:rsid w:val="004527FB"/>
    <w:rsid w:val="00452BD9"/>
    <w:rsid w:val="004536BE"/>
    <w:rsid w:val="00454176"/>
    <w:rsid w:val="00454625"/>
    <w:rsid w:val="00455DE7"/>
    <w:rsid w:val="00456BED"/>
    <w:rsid w:val="00456EC5"/>
    <w:rsid w:val="004574AF"/>
    <w:rsid w:val="00457642"/>
    <w:rsid w:val="004578EE"/>
    <w:rsid w:val="00457BE6"/>
    <w:rsid w:val="0046072E"/>
    <w:rsid w:val="00460B4E"/>
    <w:rsid w:val="00460BD2"/>
    <w:rsid w:val="0046148C"/>
    <w:rsid w:val="0046152E"/>
    <w:rsid w:val="00461712"/>
    <w:rsid w:val="00461949"/>
    <w:rsid w:val="0046265A"/>
    <w:rsid w:val="004631C4"/>
    <w:rsid w:val="004633B4"/>
    <w:rsid w:val="00463987"/>
    <w:rsid w:val="004642CA"/>
    <w:rsid w:val="0046484D"/>
    <w:rsid w:val="0046496C"/>
    <w:rsid w:val="00464BAD"/>
    <w:rsid w:val="0046534E"/>
    <w:rsid w:val="004663BB"/>
    <w:rsid w:val="0046722B"/>
    <w:rsid w:val="004674A6"/>
    <w:rsid w:val="00467942"/>
    <w:rsid w:val="00467998"/>
    <w:rsid w:val="00470F5C"/>
    <w:rsid w:val="00471AC3"/>
    <w:rsid w:val="00471EE7"/>
    <w:rsid w:val="004725C7"/>
    <w:rsid w:val="00472C7D"/>
    <w:rsid w:val="00473E7B"/>
    <w:rsid w:val="00474DE7"/>
    <w:rsid w:val="004759D6"/>
    <w:rsid w:val="00475BCA"/>
    <w:rsid w:val="004764EF"/>
    <w:rsid w:val="00476BBB"/>
    <w:rsid w:val="00476C26"/>
    <w:rsid w:val="00476E51"/>
    <w:rsid w:val="004771D8"/>
    <w:rsid w:val="004779E9"/>
    <w:rsid w:val="00480922"/>
    <w:rsid w:val="00480ACD"/>
    <w:rsid w:val="00480B67"/>
    <w:rsid w:val="00481686"/>
    <w:rsid w:val="004824AF"/>
    <w:rsid w:val="004829C5"/>
    <w:rsid w:val="00483F5D"/>
    <w:rsid w:val="00484235"/>
    <w:rsid w:val="004848FE"/>
    <w:rsid w:val="004852C9"/>
    <w:rsid w:val="0048708D"/>
    <w:rsid w:val="0049016D"/>
    <w:rsid w:val="00490B73"/>
    <w:rsid w:val="00491218"/>
    <w:rsid w:val="00492303"/>
    <w:rsid w:val="00492CC5"/>
    <w:rsid w:val="00493B8F"/>
    <w:rsid w:val="0049407B"/>
    <w:rsid w:val="00494F57"/>
    <w:rsid w:val="004953BC"/>
    <w:rsid w:val="004958BF"/>
    <w:rsid w:val="00495C55"/>
    <w:rsid w:val="00495CB8"/>
    <w:rsid w:val="00495D50"/>
    <w:rsid w:val="004961B2"/>
    <w:rsid w:val="004965A6"/>
    <w:rsid w:val="00496667"/>
    <w:rsid w:val="004966A4"/>
    <w:rsid w:val="004966C7"/>
    <w:rsid w:val="004967FC"/>
    <w:rsid w:val="00496B8B"/>
    <w:rsid w:val="004975E1"/>
    <w:rsid w:val="00497818"/>
    <w:rsid w:val="00497F27"/>
    <w:rsid w:val="004A017C"/>
    <w:rsid w:val="004A0CAA"/>
    <w:rsid w:val="004A12E1"/>
    <w:rsid w:val="004A14C9"/>
    <w:rsid w:val="004A3B28"/>
    <w:rsid w:val="004A3EBE"/>
    <w:rsid w:val="004A45D2"/>
    <w:rsid w:val="004A4ECA"/>
    <w:rsid w:val="004A5235"/>
    <w:rsid w:val="004A5741"/>
    <w:rsid w:val="004A596C"/>
    <w:rsid w:val="004A5CA3"/>
    <w:rsid w:val="004A63AD"/>
    <w:rsid w:val="004A6794"/>
    <w:rsid w:val="004A7813"/>
    <w:rsid w:val="004B014C"/>
    <w:rsid w:val="004B0226"/>
    <w:rsid w:val="004B07F3"/>
    <w:rsid w:val="004B0820"/>
    <w:rsid w:val="004B1584"/>
    <w:rsid w:val="004B15E9"/>
    <w:rsid w:val="004B17D9"/>
    <w:rsid w:val="004B1CB9"/>
    <w:rsid w:val="004B1EC5"/>
    <w:rsid w:val="004B1F79"/>
    <w:rsid w:val="004B220E"/>
    <w:rsid w:val="004B24BD"/>
    <w:rsid w:val="004B2BA5"/>
    <w:rsid w:val="004B2CD9"/>
    <w:rsid w:val="004B3201"/>
    <w:rsid w:val="004B3280"/>
    <w:rsid w:val="004B3B7F"/>
    <w:rsid w:val="004B3C4B"/>
    <w:rsid w:val="004B40B7"/>
    <w:rsid w:val="004B40CF"/>
    <w:rsid w:val="004B40EE"/>
    <w:rsid w:val="004B4329"/>
    <w:rsid w:val="004B4B73"/>
    <w:rsid w:val="004B4F57"/>
    <w:rsid w:val="004B5197"/>
    <w:rsid w:val="004B52DE"/>
    <w:rsid w:val="004B56C2"/>
    <w:rsid w:val="004B5AA4"/>
    <w:rsid w:val="004B6380"/>
    <w:rsid w:val="004B7496"/>
    <w:rsid w:val="004B7567"/>
    <w:rsid w:val="004B783E"/>
    <w:rsid w:val="004C08B5"/>
    <w:rsid w:val="004C1561"/>
    <w:rsid w:val="004C270A"/>
    <w:rsid w:val="004C2A73"/>
    <w:rsid w:val="004C307F"/>
    <w:rsid w:val="004C31DC"/>
    <w:rsid w:val="004C32F6"/>
    <w:rsid w:val="004C3868"/>
    <w:rsid w:val="004C38A4"/>
    <w:rsid w:val="004C3EB6"/>
    <w:rsid w:val="004C411B"/>
    <w:rsid w:val="004C423B"/>
    <w:rsid w:val="004C4286"/>
    <w:rsid w:val="004C43D9"/>
    <w:rsid w:val="004C446E"/>
    <w:rsid w:val="004C44F0"/>
    <w:rsid w:val="004C4D7D"/>
    <w:rsid w:val="004C53DD"/>
    <w:rsid w:val="004C6149"/>
    <w:rsid w:val="004C6A56"/>
    <w:rsid w:val="004C6C54"/>
    <w:rsid w:val="004C7152"/>
    <w:rsid w:val="004C7808"/>
    <w:rsid w:val="004C7AEB"/>
    <w:rsid w:val="004C7DD6"/>
    <w:rsid w:val="004D08C9"/>
    <w:rsid w:val="004D0AF3"/>
    <w:rsid w:val="004D0DB5"/>
    <w:rsid w:val="004D0FA2"/>
    <w:rsid w:val="004D22B5"/>
    <w:rsid w:val="004D2805"/>
    <w:rsid w:val="004D2D7A"/>
    <w:rsid w:val="004D366E"/>
    <w:rsid w:val="004D389A"/>
    <w:rsid w:val="004D3D3D"/>
    <w:rsid w:val="004D4386"/>
    <w:rsid w:val="004D4469"/>
    <w:rsid w:val="004D4F01"/>
    <w:rsid w:val="004D4F21"/>
    <w:rsid w:val="004D55DE"/>
    <w:rsid w:val="004D55F4"/>
    <w:rsid w:val="004D61BA"/>
    <w:rsid w:val="004D6417"/>
    <w:rsid w:val="004D6650"/>
    <w:rsid w:val="004D66CD"/>
    <w:rsid w:val="004E07BA"/>
    <w:rsid w:val="004E150D"/>
    <w:rsid w:val="004E3B5B"/>
    <w:rsid w:val="004E3D63"/>
    <w:rsid w:val="004E401A"/>
    <w:rsid w:val="004E4083"/>
    <w:rsid w:val="004E43D4"/>
    <w:rsid w:val="004E4D86"/>
    <w:rsid w:val="004E5D16"/>
    <w:rsid w:val="004E63BB"/>
    <w:rsid w:val="004E77E8"/>
    <w:rsid w:val="004F0ABF"/>
    <w:rsid w:val="004F1C58"/>
    <w:rsid w:val="004F2434"/>
    <w:rsid w:val="004F4351"/>
    <w:rsid w:val="004F49E6"/>
    <w:rsid w:val="004F4D8C"/>
    <w:rsid w:val="004F5193"/>
    <w:rsid w:val="004F548D"/>
    <w:rsid w:val="004F6047"/>
    <w:rsid w:val="004F613F"/>
    <w:rsid w:val="004F6884"/>
    <w:rsid w:val="004F710C"/>
    <w:rsid w:val="004F7C0E"/>
    <w:rsid w:val="004F7D5A"/>
    <w:rsid w:val="004F7FAA"/>
    <w:rsid w:val="00500125"/>
    <w:rsid w:val="005002AC"/>
    <w:rsid w:val="00500448"/>
    <w:rsid w:val="00500A05"/>
    <w:rsid w:val="00500B4F"/>
    <w:rsid w:val="0050117D"/>
    <w:rsid w:val="005015D0"/>
    <w:rsid w:val="00501A50"/>
    <w:rsid w:val="00502546"/>
    <w:rsid w:val="005027BE"/>
    <w:rsid w:val="0050283B"/>
    <w:rsid w:val="00502EA5"/>
    <w:rsid w:val="005032BA"/>
    <w:rsid w:val="00503451"/>
    <w:rsid w:val="0050357C"/>
    <w:rsid w:val="0050374B"/>
    <w:rsid w:val="005038BC"/>
    <w:rsid w:val="00503932"/>
    <w:rsid w:val="00504209"/>
    <w:rsid w:val="005046D0"/>
    <w:rsid w:val="00504907"/>
    <w:rsid w:val="005054E3"/>
    <w:rsid w:val="0050586C"/>
    <w:rsid w:val="00505AEC"/>
    <w:rsid w:val="00506AAB"/>
    <w:rsid w:val="00506D5A"/>
    <w:rsid w:val="00507306"/>
    <w:rsid w:val="00507801"/>
    <w:rsid w:val="00507CD8"/>
    <w:rsid w:val="005102EA"/>
    <w:rsid w:val="00510ABF"/>
    <w:rsid w:val="00510CBE"/>
    <w:rsid w:val="00510DE6"/>
    <w:rsid w:val="00511638"/>
    <w:rsid w:val="00511B1E"/>
    <w:rsid w:val="0051239C"/>
    <w:rsid w:val="005124CD"/>
    <w:rsid w:val="00512881"/>
    <w:rsid w:val="00512BE8"/>
    <w:rsid w:val="0051315D"/>
    <w:rsid w:val="005135AA"/>
    <w:rsid w:val="00513DCE"/>
    <w:rsid w:val="00513DEC"/>
    <w:rsid w:val="00514915"/>
    <w:rsid w:val="00515062"/>
    <w:rsid w:val="00516C03"/>
    <w:rsid w:val="0052185D"/>
    <w:rsid w:val="00521DDD"/>
    <w:rsid w:val="005220B9"/>
    <w:rsid w:val="0052254F"/>
    <w:rsid w:val="00522A90"/>
    <w:rsid w:val="00523286"/>
    <w:rsid w:val="005233D9"/>
    <w:rsid w:val="0052395D"/>
    <w:rsid w:val="00523DC1"/>
    <w:rsid w:val="005251F4"/>
    <w:rsid w:val="0052598A"/>
    <w:rsid w:val="0052693E"/>
    <w:rsid w:val="00526BDE"/>
    <w:rsid w:val="00527642"/>
    <w:rsid w:val="005303BF"/>
    <w:rsid w:val="00530516"/>
    <w:rsid w:val="005307FA"/>
    <w:rsid w:val="00530B78"/>
    <w:rsid w:val="005314B2"/>
    <w:rsid w:val="00531FAB"/>
    <w:rsid w:val="005320F0"/>
    <w:rsid w:val="005320F4"/>
    <w:rsid w:val="00532A75"/>
    <w:rsid w:val="00532AAB"/>
    <w:rsid w:val="005334B9"/>
    <w:rsid w:val="00533638"/>
    <w:rsid w:val="00533DA9"/>
    <w:rsid w:val="00534CAF"/>
    <w:rsid w:val="00534E8D"/>
    <w:rsid w:val="005354D1"/>
    <w:rsid w:val="00536441"/>
    <w:rsid w:val="005369AB"/>
    <w:rsid w:val="005373F7"/>
    <w:rsid w:val="005376F4"/>
    <w:rsid w:val="00537DF3"/>
    <w:rsid w:val="005408B3"/>
    <w:rsid w:val="00540C7C"/>
    <w:rsid w:val="00541635"/>
    <w:rsid w:val="00541638"/>
    <w:rsid w:val="00542763"/>
    <w:rsid w:val="00543308"/>
    <w:rsid w:val="00543387"/>
    <w:rsid w:val="00543429"/>
    <w:rsid w:val="005446A7"/>
    <w:rsid w:val="00545382"/>
    <w:rsid w:val="00545736"/>
    <w:rsid w:val="0054584B"/>
    <w:rsid w:val="00545ECE"/>
    <w:rsid w:val="00546B9B"/>
    <w:rsid w:val="00546DD8"/>
    <w:rsid w:val="00546F2A"/>
    <w:rsid w:val="00546FD2"/>
    <w:rsid w:val="0054775E"/>
    <w:rsid w:val="00547F10"/>
    <w:rsid w:val="00550AC6"/>
    <w:rsid w:val="00551348"/>
    <w:rsid w:val="005515C5"/>
    <w:rsid w:val="005517C7"/>
    <w:rsid w:val="00551AD5"/>
    <w:rsid w:val="00552153"/>
    <w:rsid w:val="005526EE"/>
    <w:rsid w:val="00552775"/>
    <w:rsid w:val="00552B0B"/>
    <w:rsid w:val="0055341C"/>
    <w:rsid w:val="005539C9"/>
    <w:rsid w:val="00553EAE"/>
    <w:rsid w:val="005540C3"/>
    <w:rsid w:val="00554377"/>
    <w:rsid w:val="0055453E"/>
    <w:rsid w:val="00555151"/>
    <w:rsid w:val="005554A1"/>
    <w:rsid w:val="00555916"/>
    <w:rsid w:val="0055620E"/>
    <w:rsid w:val="005562DB"/>
    <w:rsid w:val="00556DCF"/>
    <w:rsid w:val="00557322"/>
    <w:rsid w:val="0055780A"/>
    <w:rsid w:val="00557918"/>
    <w:rsid w:val="00557A6C"/>
    <w:rsid w:val="00560467"/>
    <w:rsid w:val="0056055A"/>
    <w:rsid w:val="0056080D"/>
    <w:rsid w:val="0056117A"/>
    <w:rsid w:val="0056119C"/>
    <w:rsid w:val="00561938"/>
    <w:rsid w:val="00561D46"/>
    <w:rsid w:val="00561E40"/>
    <w:rsid w:val="005624B6"/>
    <w:rsid w:val="00562AE9"/>
    <w:rsid w:val="00563D39"/>
    <w:rsid w:val="00563DE7"/>
    <w:rsid w:val="00564961"/>
    <w:rsid w:val="00564EA5"/>
    <w:rsid w:val="00565322"/>
    <w:rsid w:val="00565DF6"/>
    <w:rsid w:val="00567245"/>
    <w:rsid w:val="00567BA8"/>
    <w:rsid w:val="005702C6"/>
    <w:rsid w:val="005702E9"/>
    <w:rsid w:val="005706C4"/>
    <w:rsid w:val="0057081E"/>
    <w:rsid w:val="005708FC"/>
    <w:rsid w:val="00570EAF"/>
    <w:rsid w:val="00571607"/>
    <w:rsid w:val="0057179A"/>
    <w:rsid w:val="0057195E"/>
    <w:rsid w:val="0057223B"/>
    <w:rsid w:val="00572D3B"/>
    <w:rsid w:val="00572F47"/>
    <w:rsid w:val="0057318C"/>
    <w:rsid w:val="005733F0"/>
    <w:rsid w:val="00574809"/>
    <w:rsid w:val="00574EC3"/>
    <w:rsid w:val="00574FDE"/>
    <w:rsid w:val="0057593E"/>
    <w:rsid w:val="00575A2B"/>
    <w:rsid w:val="00575FFF"/>
    <w:rsid w:val="00576001"/>
    <w:rsid w:val="00576478"/>
    <w:rsid w:val="005765ED"/>
    <w:rsid w:val="0057680C"/>
    <w:rsid w:val="00577ECA"/>
    <w:rsid w:val="005802A4"/>
    <w:rsid w:val="0058065A"/>
    <w:rsid w:val="00581204"/>
    <w:rsid w:val="00582309"/>
    <w:rsid w:val="00582776"/>
    <w:rsid w:val="00582A5D"/>
    <w:rsid w:val="00582DB4"/>
    <w:rsid w:val="00582FF8"/>
    <w:rsid w:val="00583120"/>
    <w:rsid w:val="00583220"/>
    <w:rsid w:val="005839CF"/>
    <w:rsid w:val="00583C9E"/>
    <w:rsid w:val="00583DD8"/>
    <w:rsid w:val="00584BDA"/>
    <w:rsid w:val="00584C39"/>
    <w:rsid w:val="00584C61"/>
    <w:rsid w:val="005851B5"/>
    <w:rsid w:val="005859A1"/>
    <w:rsid w:val="005867E4"/>
    <w:rsid w:val="00586FB1"/>
    <w:rsid w:val="00586FB8"/>
    <w:rsid w:val="00587572"/>
    <w:rsid w:val="00587F13"/>
    <w:rsid w:val="0059009A"/>
    <w:rsid w:val="005902AB"/>
    <w:rsid w:val="00590441"/>
    <w:rsid w:val="00590CCD"/>
    <w:rsid w:val="005916CB"/>
    <w:rsid w:val="00591CB9"/>
    <w:rsid w:val="00591F63"/>
    <w:rsid w:val="0059256F"/>
    <w:rsid w:val="0059372B"/>
    <w:rsid w:val="00593885"/>
    <w:rsid w:val="00593A84"/>
    <w:rsid w:val="005942BA"/>
    <w:rsid w:val="00595851"/>
    <w:rsid w:val="00596728"/>
    <w:rsid w:val="005969C4"/>
    <w:rsid w:val="00596B87"/>
    <w:rsid w:val="005973C0"/>
    <w:rsid w:val="00597F8F"/>
    <w:rsid w:val="005A041D"/>
    <w:rsid w:val="005A0D35"/>
    <w:rsid w:val="005A11F9"/>
    <w:rsid w:val="005A16BB"/>
    <w:rsid w:val="005A35A4"/>
    <w:rsid w:val="005A391A"/>
    <w:rsid w:val="005A3F41"/>
    <w:rsid w:val="005A4570"/>
    <w:rsid w:val="005A4966"/>
    <w:rsid w:val="005A52D7"/>
    <w:rsid w:val="005A574C"/>
    <w:rsid w:val="005A5913"/>
    <w:rsid w:val="005A5F3D"/>
    <w:rsid w:val="005A7220"/>
    <w:rsid w:val="005B0E47"/>
    <w:rsid w:val="005B1315"/>
    <w:rsid w:val="005B1CFF"/>
    <w:rsid w:val="005B1EB2"/>
    <w:rsid w:val="005B2204"/>
    <w:rsid w:val="005B2390"/>
    <w:rsid w:val="005B35A1"/>
    <w:rsid w:val="005B35D1"/>
    <w:rsid w:val="005B3A7B"/>
    <w:rsid w:val="005B4B36"/>
    <w:rsid w:val="005B4EEC"/>
    <w:rsid w:val="005B4F24"/>
    <w:rsid w:val="005B57F7"/>
    <w:rsid w:val="005B5B8D"/>
    <w:rsid w:val="005B5ED4"/>
    <w:rsid w:val="005B6F11"/>
    <w:rsid w:val="005B7368"/>
    <w:rsid w:val="005C00C6"/>
    <w:rsid w:val="005C0EEF"/>
    <w:rsid w:val="005C109F"/>
    <w:rsid w:val="005C1277"/>
    <w:rsid w:val="005C1FBD"/>
    <w:rsid w:val="005C22F3"/>
    <w:rsid w:val="005C299A"/>
    <w:rsid w:val="005C39C8"/>
    <w:rsid w:val="005C3F2A"/>
    <w:rsid w:val="005C4716"/>
    <w:rsid w:val="005C48CA"/>
    <w:rsid w:val="005C52AF"/>
    <w:rsid w:val="005C57B4"/>
    <w:rsid w:val="005C5EB5"/>
    <w:rsid w:val="005C60E1"/>
    <w:rsid w:val="005C67E8"/>
    <w:rsid w:val="005C6F33"/>
    <w:rsid w:val="005D01CE"/>
    <w:rsid w:val="005D02C6"/>
    <w:rsid w:val="005D0C9A"/>
    <w:rsid w:val="005D0D32"/>
    <w:rsid w:val="005D109C"/>
    <w:rsid w:val="005D11CA"/>
    <w:rsid w:val="005D19B0"/>
    <w:rsid w:val="005D29E8"/>
    <w:rsid w:val="005D2BA4"/>
    <w:rsid w:val="005D3187"/>
    <w:rsid w:val="005D36D1"/>
    <w:rsid w:val="005D3D49"/>
    <w:rsid w:val="005D47CF"/>
    <w:rsid w:val="005D6231"/>
    <w:rsid w:val="005D63D8"/>
    <w:rsid w:val="005D6C29"/>
    <w:rsid w:val="005D7131"/>
    <w:rsid w:val="005E00B4"/>
    <w:rsid w:val="005E02A2"/>
    <w:rsid w:val="005E0884"/>
    <w:rsid w:val="005E0A69"/>
    <w:rsid w:val="005E1047"/>
    <w:rsid w:val="005E2038"/>
    <w:rsid w:val="005E2065"/>
    <w:rsid w:val="005E256D"/>
    <w:rsid w:val="005E2A9F"/>
    <w:rsid w:val="005E2FC3"/>
    <w:rsid w:val="005E3367"/>
    <w:rsid w:val="005E3576"/>
    <w:rsid w:val="005E377D"/>
    <w:rsid w:val="005E37B9"/>
    <w:rsid w:val="005E37CA"/>
    <w:rsid w:val="005E3A01"/>
    <w:rsid w:val="005E3E0D"/>
    <w:rsid w:val="005E46E5"/>
    <w:rsid w:val="005E486C"/>
    <w:rsid w:val="005E4E17"/>
    <w:rsid w:val="005E5564"/>
    <w:rsid w:val="005E587F"/>
    <w:rsid w:val="005E5D9D"/>
    <w:rsid w:val="005E5ED7"/>
    <w:rsid w:val="005E64D5"/>
    <w:rsid w:val="005E72AF"/>
    <w:rsid w:val="005E74CC"/>
    <w:rsid w:val="005E7897"/>
    <w:rsid w:val="005E79B1"/>
    <w:rsid w:val="005E79BA"/>
    <w:rsid w:val="005E7A47"/>
    <w:rsid w:val="005E7E26"/>
    <w:rsid w:val="005F002C"/>
    <w:rsid w:val="005F09B7"/>
    <w:rsid w:val="005F0FE2"/>
    <w:rsid w:val="005F1BBA"/>
    <w:rsid w:val="005F1E26"/>
    <w:rsid w:val="005F255B"/>
    <w:rsid w:val="005F2F76"/>
    <w:rsid w:val="005F3A4F"/>
    <w:rsid w:val="005F3D56"/>
    <w:rsid w:val="005F5423"/>
    <w:rsid w:val="005F55EF"/>
    <w:rsid w:val="005F625B"/>
    <w:rsid w:val="005F650D"/>
    <w:rsid w:val="005F704E"/>
    <w:rsid w:val="005F7834"/>
    <w:rsid w:val="005F7A91"/>
    <w:rsid w:val="005F7C42"/>
    <w:rsid w:val="00601C05"/>
    <w:rsid w:val="00601C53"/>
    <w:rsid w:val="00602643"/>
    <w:rsid w:val="00602CE7"/>
    <w:rsid w:val="00603E6B"/>
    <w:rsid w:val="00603FBA"/>
    <w:rsid w:val="00604BC3"/>
    <w:rsid w:val="00605659"/>
    <w:rsid w:val="00605C18"/>
    <w:rsid w:val="00605E8F"/>
    <w:rsid w:val="00606138"/>
    <w:rsid w:val="006061CE"/>
    <w:rsid w:val="006074E9"/>
    <w:rsid w:val="0061139C"/>
    <w:rsid w:val="00611400"/>
    <w:rsid w:val="00611E24"/>
    <w:rsid w:val="0061210D"/>
    <w:rsid w:val="006121E7"/>
    <w:rsid w:val="006125A1"/>
    <w:rsid w:val="006126A6"/>
    <w:rsid w:val="00612A93"/>
    <w:rsid w:val="00612D8E"/>
    <w:rsid w:val="00612DC9"/>
    <w:rsid w:val="0061359E"/>
    <w:rsid w:val="00613CB2"/>
    <w:rsid w:val="00613D62"/>
    <w:rsid w:val="00613DB2"/>
    <w:rsid w:val="00614200"/>
    <w:rsid w:val="006145C7"/>
    <w:rsid w:val="00614AE8"/>
    <w:rsid w:val="00614B1B"/>
    <w:rsid w:val="00615775"/>
    <w:rsid w:val="00616A2B"/>
    <w:rsid w:val="0061729D"/>
    <w:rsid w:val="00617379"/>
    <w:rsid w:val="00620939"/>
    <w:rsid w:val="00620A42"/>
    <w:rsid w:val="00620D96"/>
    <w:rsid w:val="00620DCC"/>
    <w:rsid w:val="00620E49"/>
    <w:rsid w:val="006214D0"/>
    <w:rsid w:val="00621DBE"/>
    <w:rsid w:val="006223D9"/>
    <w:rsid w:val="0062278D"/>
    <w:rsid w:val="00622E1D"/>
    <w:rsid w:val="00622E89"/>
    <w:rsid w:val="00623DA1"/>
    <w:rsid w:val="00623E6D"/>
    <w:rsid w:val="006244EF"/>
    <w:rsid w:val="00625219"/>
    <w:rsid w:val="00625AE1"/>
    <w:rsid w:val="00625C51"/>
    <w:rsid w:val="00626E34"/>
    <w:rsid w:val="006277F6"/>
    <w:rsid w:val="006278A0"/>
    <w:rsid w:val="00627AF7"/>
    <w:rsid w:val="00627DFE"/>
    <w:rsid w:val="00630EBB"/>
    <w:rsid w:val="006317F0"/>
    <w:rsid w:val="0063262E"/>
    <w:rsid w:val="00632AA4"/>
    <w:rsid w:val="00632E27"/>
    <w:rsid w:val="006330CE"/>
    <w:rsid w:val="00633641"/>
    <w:rsid w:val="0063378E"/>
    <w:rsid w:val="00633A4F"/>
    <w:rsid w:val="00633D76"/>
    <w:rsid w:val="0063485A"/>
    <w:rsid w:val="00635EA1"/>
    <w:rsid w:val="0063604D"/>
    <w:rsid w:val="00636698"/>
    <w:rsid w:val="00637BE0"/>
    <w:rsid w:val="00637CDA"/>
    <w:rsid w:val="006401B1"/>
    <w:rsid w:val="006401E1"/>
    <w:rsid w:val="0064084F"/>
    <w:rsid w:val="00640916"/>
    <w:rsid w:val="00640967"/>
    <w:rsid w:val="0064119C"/>
    <w:rsid w:val="00641580"/>
    <w:rsid w:val="00641912"/>
    <w:rsid w:val="00641AFE"/>
    <w:rsid w:val="0064221D"/>
    <w:rsid w:val="0064238B"/>
    <w:rsid w:val="00643811"/>
    <w:rsid w:val="00643A37"/>
    <w:rsid w:val="00643B2E"/>
    <w:rsid w:val="00644C07"/>
    <w:rsid w:val="00644F21"/>
    <w:rsid w:val="00645242"/>
    <w:rsid w:val="00645B60"/>
    <w:rsid w:val="00646475"/>
    <w:rsid w:val="00646969"/>
    <w:rsid w:val="00646F97"/>
    <w:rsid w:val="00647AD5"/>
    <w:rsid w:val="00647DDB"/>
    <w:rsid w:val="006506C5"/>
    <w:rsid w:val="00651479"/>
    <w:rsid w:val="00651E87"/>
    <w:rsid w:val="00652D02"/>
    <w:rsid w:val="00653064"/>
    <w:rsid w:val="00653268"/>
    <w:rsid w:val="006542A9"/>
    <w:rsid w:val="006547DA"/>
    <w:rsid w:val="00654EB0"/>
    <w:rsid w:val="00655084"/>
    <w:rsid w:val="00655187"/>
    <w:rsid w:val="006553B7"/>
    <w:rsid w:val="00655A14"/>
    <w:rsid w:val="006565C3"/>
    <w:rsid w:val="006565CF"/>
    <w:rsid w:val="006567B0"/>
    <w:rsid w:val="00657445"/>
    <w:rsid w:val="00657BCF"/>
    <w:rsid w:val="0066040F"/>
    <w:rsid w:val="0066095B"/>
    <w:rsid w:val="0066179F"/>
    <w:rsid w:val="00661A68"/>
    <w:rsid w:val="00661C09"/>
    <w:rsid w:val="00662142"/>
    <w:rsid w:val="00662B1C"/>
    <w:rsid w:val="00662C2F"/>
    <w:rsid w:val="00662DDC"/>
    <w:rsid w:val="00663338"/>
    <w:rsid w:val="00663781"/>
    <w:rsid w:val="00663EFE"/>
    <w:rsid w:val="00664796"/>
    <w:rsid w:val="00665761"/>
    <w:rsid w:val="006657C4"/>
    <w:rsid w:val="00665E56"/>
    <w:rsid w:val="00665F74"/>
    <w:rsid w:val="00666116"/>
    <w:rsid w:val="00666BB7"/>
    <w:rsid w:val="00666BC7"/>
    <w:rsid w:val="00666E6E"/>
    <w:rsid w:val="00666F43"/>
    <w:rsid w:val="0066702E"/>
    <w:rsid w:val="006708E9"/>
    <w:rsid w:val="00671348"/>
    <w:rsid w:val="00671418"/>
    <w:rsid w:val="00671587"/>
    <w:rsid w:val="0067209E"/>
    <w:rsid w:val="00672E7E"/>
    <w:rsid w:val="00673813"/>
    <w:rsid w:val="00673ADE"/>
    <w:rsid w:val="00673FC1"/>
    <w:rsid w:val="0067480F"/>
    <w:rsid w:val="00674E25"/>
    <w:rsid w:val="00675F31"/>
    <w:rsid w:val="00676151"/>
    <w:rsid w:val="0067663D"/>
    <w:rsid w:val="00677155"/>
    <w:rsid w:val="00677385"/>
    <w:rsid w:val="0067766F"/>
    <w:rsid w:val="006800C7"/>
    <w:rsid w:val="00680210"/>
    <w:rsid w:val="00680AFA"/>
    <w:rsid w:val="00680EC5"/>
    <w:rsid w:val="00681A0D"/>
    <w:rsid w:val="00681B4A"/>
    <w:rsid w:val="00681F8E"/>
    <w:rsid w:val="006820D1"/>
    <w:rsid w:val="006820F4"/>
    <w:rsid w:val="006826A3"/>
    <w:rsid w:val="00682CF9"/>
    <w:rsid w:val="00683146"/>
    <w:rsid w:val="006839D3"/>
    <w:rsid w:val="0068400D"/>
    <w:rsid w:val="00684B15"/>
    <w:rsid w:val="00684B26"/>
    <w:rsid w:val="00684BFC"/>
    <w:rsid w:val="00685D34"/>
    <w:rsid w:val="006862C0"/>
    <w:rsid w:val="00686A90"/>
    <w:rsid w:val="00686EF5"/>
    <w:rsid w:val="00687FD9"/>
    <w:rsid w:val="00690142"/>
    <w:rsid w:val="00690285"/>
    <w:rsid w:val="006907E3"/>
    <w:rsid w:val="00690919"/>
    <w:rsid w:val="0069097F"/>
    <w:rsid w:val="006909C9"/>
    <w:rsid w:val="0069116C"/>
    <w:rsid w:val="00691E23"/>
    <w:rsid w:val="006921AD"/>
    <w:rsid w:val="00692990"/>
    <w:rsid w:val="006929B1"/>
    <w:rsid w:val="00692AB0"/>
    <w:rsid w:val="00692D3E"/>
    <w:rsid w:val="00692F49"/>
    <w:rsid w:val="006937C7"/>
    <w:rsid w:val="006938C8"/>
    <w:rsid w:val="006945D3"/>
    <w:rsid w:val="00694B6B"/>
    <w:rsid w:val="00695798"/>
    <w:rsid w:val="00696904"/>
    <w:rsid w:val="00696D86"/>
    <w:rsid w:val="006972DC"/>
    <w:rsid w:val="006975F0"/>
    <w:rsid w:val="00697719"/>
    <w:rsid w:val="00697776"/>
    <w:rsid w:val="006978E5"/>
    <w:rsid w:val="006A042C"/>
    <w:rsid w:val="006A07B9"/>
    <w:rsid w:val="006A140D"/>
    <w:rsid w:val="006A1515"/>
    <w:rsid w:val="006A173F"/>
    <w:rsid w:val="006A177F"/>
    <w:rsid w:val="006A1A12"/>
    <w:rsid w:val="006A27A6"/>
    <w:rsid w:val="006A2F17"/>
    <w:rsid w:val="006A3F43"/>
    <w:rsid w:val="006A423D"/>
    <w:rsid w:val="006A42F3"/>
    <w:rsid w:val="006A4710"/>
    <w:rsid w:val="006A4AED"/>
    <w:rsid w:val="006A56AA"/>
    <w:rsid w:val="006A5AFB"/>
    <w:rsid w:val="006A5C50"/>
    <w:rsid w:val="006A6D02"/>
    <w:rsid w:val="006A6DA5"/>
    <w:rsid w:val="006A75F6"/>
    <w:rsid w:val="006A7723"/>
    <w:rsid w:val="006A7DAD"/>
    <w:rsid w:val="006A7F4F"/>
    <w:rsid w:val="006B02C1"/>
    <w:rsid w:val="006B0A40"/>
    <w:rsid w:val="006B1570"/>
    <w:rsid w:val="006B1F36"/>
    <w:rsid w:val="006B207F"/>
    <w:rsid w:val="006B2317"/>
    <w:rsid w:val="006B253A"/>
    <w:rsid w:val="006B5088"/>
    <w:rsid w:val="006B53AB"/>
    <w:rsid w:val="006B5510"/>
    <w:rsid w:val="006B6026"/>
    <w:rsid w:val="006B60F3"/>
    <w:rsid w:val="006B61B3"/>
    <w:rsid w:val="006B6F6C"/>
    <w:rsid w:val="006B6FC4"/>
    <w:rsid w:val="006B71C8"/>
    <w:rsid w:val="006B75B0"/>
    <w:rsid w:val="006B7BF1"/>
    <w:rsid w:val="006C012E"/>
    <w:rsid w:val="006C0844"/>
    <w:rsid w:val="006C2A5B"/>
    <w:rsid w:val="006C3012"/>
    <w:rsid w:val="006C3B84"/>
    <w:rsid w:val="006C4187"/>
    <w:rsid w:val="006C5264"/>
    <w:rsid w:val="006C5780"/>
    <w:rsid w:val="006C5A63"/>
    <w:rsid w:val="006C5B45"/>
    <w:rsid w:val="006C5E63"/>
    <w:rsid w:val="006C5F8B"/>
    <w:rsid w:val="006C600D"/>
    <w:rsid w:val="006C6229"/>
    <w:rsid w:val="006C62C7"/>
    <w:rsid w:val="006C63FF"/>
    <w:rsid w:val="006C776C"/>
    <w:rsid w:val="006D0743"/>
    <w:rsid w:val="006D09C0"/>
    <w:rsid w:val="006D09D7"/>
    <w:rsid w:val="006D0FA8"/>
    <w:rsid w:val="006D11A1"/>
    <w:rsid w:val="006D168D"/>
    <w:rsid w:val="006D18CE"/>
    <w:rsid w:val="006D22CB"/>
    <w:rsid w:val="006D362D"/>
    <w:rsid w:val="006D3FE6"/>
    <w:rsid w:val="006D540C"/>
    <w:rsid w:val="006D57A1"/>
    <w:rsid w:val="006D5A83"/>
    <w:rsid w:val="006D5F83"/>
    <w:rsid w:val="006D681B"/>
    <w:rsid w:val="006D6AB4"/>
    <w:rsid w:val="006D6AC4"/>
    <w:rsid w:val="006D76F0"/>
    <w:rsid w:val="006D79A6"/>
    <w:rsid w:val="006D7B79"/>
    <w:rsid w:val="006D7B8B"/>
    <w:rsid w:val="006E046D"/>
    <w:rsid w:val="006E051F"/>
    <w:rsid w:val="006E076F"/>
    <w:rsid w:val="006E0C18"/>
    <w:rsid w:val="006E0CE2"/>
    <w:rsid w:val="006E0E36"/>
    <w:rsid w:val="006E19F5"/>
    <w:rsid w:val="006E1A9C"/>
    <w:rsid w:val="006E208A"/>
    <w:rsid w:val="006E21EA"/>
    <w:rsid w:val="006E25DA"/>
    <w:rsid w:val="006E3041"/>
    <w:rsid w:val="006E396C"/>
    <w:rsid w:val="006E42B1"/>
    <w:rsid w:val="006E44F0"/>
    <w:rsid w:val="006E4FCE"/>
    <w:rsid w:val="006E4FEA"/>
    <w:rsid w:val="006E5205"/>
    <w:rsid w:val="006E54C6"/>
    <w:rsid w:val="006E5AA2"/>
    <w:rsid w:val="006E6B48"/>
    <w:rsid w:val="006E70D5"/>
    <w:rsid w:val="006E7BBB"/>
    <w:rsid w:val="006F00C8"/>
    <w:rsid w:val="006F0C24"/>
    <w:rsid w:val="006F1659"/>
    <w:rsid w:val="006F1B1C"/>
    <w:rsid w:val="006F1B74"/>
    <w:rsid w:val="006F286B"/>
    <w:rsid w:val="006F3398"/>
    <w:rsid w:val="006F380F"/>
    <w:rsid w:val="006F3845"/>
    <w:rsid w:val="006F387E"/>
    <w:rsid w:val="006F3973"/>
    <w:rsid w:val="006F3BFC"/>
    <w:rsid w:val="006F3EED"/>
    <w:rsid w:val="006F3F45"/>
    <w:rsid w:val="006F454A"/>
    <w:rsid w:val="006F4AA3"/>
    <w:rsid w:val="006F51F9"/>
    <w:rsid w:val="006F5A5C"/>
    <w:rsid w:val="006F68C6"/>
    <w:rsid w:val="006F6D83"/>
    <w:rsid w:val="00700C90"/>
    <w:rsid w:val="007015A3"/>
    <w:rsid w:val="00701772"/>
    <w:rsid w:val="00701A9C"/>
    <w:rsid w:val="007022C6"/>
    <w:rsid w:val="007037CA"/>
    <w:rsid w:val="00703B08"/>
    <w:rsid w:val="00703ED8"/>
    <w:rsid w:val="00704426"/>
    <w:rsid w:val="00704668"/>
    <w:rsid w:val="00704D66"/>
    <w:rsid w:val="007051B1"/>
    <w:rsid w:val="00705E36"/>
    <w:rsid w:val="00706137"/>
    <w:rsid w:val="00706359"/>
    <w:rsid w:val="00706371"/>
    <w:rsid w:val="0070644D"/>
    <w:rsid w:val="0070671A"/>
    <w:rsid w:val="00706865"/>
    <w:rsid w:val="00706FD8"/>
    <w:rsid w:val="007077A6"/>
    <w:rsid w:val="00707C92"/>
    <w:rsid w:val="00710087"/>
    <w:rsid w:val="00710364"/>
    <w:rsid w:val="00710AE1"/>
    <w:rsid w:val="00710B73"/>
    <w:rsid w:val="00710F72"/>
    <w:rsid w:val="00711A0F"/>
    <w:rsid w:val="00711A78"/>
    <w:rsid w:val="007123AC"/>
    <w:rsid w:val="00712A38"/>
    <w:rsid w:val="007134BC"/>
    <w:rsid w:val="00713A5D"/>
    <w:rsid w:val="00713D72"/>
    <w:rsid w:val="00714233"/>
    <w:rsid w:val="00714D3B"/>
    <w:rsid w:val="007159EA"/>
    <w:rsid w:val="00715AC8"/>
    <w:rsid w:val="00715E2B"/>
    <w:rsid w:val="00715FF4"/>
    <w:rsid w:val="007163C3"/>
    <w:rsid w:val="00716408"/>
    <w:rsid w:val="007167D1"/>
    <w:rsid w:val="00717573"/>
    <w:rsid w:val="00717D30"/>
    <w:rsid w:val="007201C8"/>
    <w:rsid w:val="007206E7"/>
    <w:rsid w:val="00720D95"/>
    <w:rsid w:val="00721389"/>
    <w:rsid w:val="00721C52"/>
    <w:rsid w:val="00722820"/>
    <w:rsid w:val="007237F8"/>
    <w:rsid w:val="00723BC5"/>
    <w:rsid w:val="00723F42"/>
    <w:rsid w:val="0072436F"/>
    <w:rsid w:val="00724E12"/>
    <w:rsid w:val="00725077"/>
    <w:rsid w:val="0072691C"/>
    <w:rsid w:val="00726D32"/>
    <w:rsid w:val="00726E11"/>
    <w:rsid w:val="00726E8B"/>
    <w:rsid w:val="00727129"/>
    <w:rsid w:val="00730302"/>
    <w:rsid w:val="007311F0"/>
    <w:rsid w:val="00732E5D"/>
    <w:rsid w:val="0073403A"/>
    <w:rsid w:val="007348AB"/>
    <w:rsid w:val="007349C4"/>
    <w:rsid w:val="00734D1F"/>
    <w:rsid w:val="00735C5A"/>
    <w:rsid w:val="00735F80"/>
    <w:rsid w:val="00736043"/>
    <w:rsid w:val="007360AE"/>
    <w:rsid w:val="00736D3D"/>
    <w:rsid w:val="00737F62"/>
    <w:rsid w:val="007404D2"/>
    <w:rsid w:val="00740760"/>
    <w:rsid w:val="00741983"/>
    <w:rsid w:val="00741BF6"/>
    <w:rsid w:val="007424BC"/>
    <w:rsid w:val="00742628"/>
    <w:rsid w:val="007428AE"/>
    <w:rsid w:val="007441BC"/>
    <w:rsid w:val="007449FA"/>
    <w:rsid w:val="00744A6B"/>
    <w:rsid w:val="00745F18"/>
    <w:rsid w:val="00746772"/>
    <w:rsid w:val="00746A0C"/>
    <w:rsid w:val="00750CD1"/>
    <w:rsid w:val="0075146F"/>
    <w:rsid w:val="00751B44"/>
    <w:rsid w:val="00752336"/>
    <w:rsid w:val="007524DC"/>
    <w:rsid w:val="007534DE"/>
    <w:rsid w:val="007535A7"/>
    <w:rsid w:val="00753AE3"/>
    <w:rsid w:val="00753BF1"/>
    <w:rsid w:val="00753D93"/>
    <w:rsid w:val="007547B6"/>
    <w:rsid w:val="00754883"/>
    <w:rsid w:val="007549A2"/>
    <w:rsid w:val="00754AE9"/>
    <w:rsid w:val="00754BE9"/>
    <w:rsid w:val="00754F65"/>
    <w:rsid w:val="00755723"/>
    <w:rsid w:val="007562A2"/>
    <w:rsid w:val="00756455"/>
    <w:rsid w:val="00756871"/>
    <w:rsid w:val="00756982"/>
    <w:rsid w:val="00756B16"/>
    <w:rsid w:val="00756FCB"/>
    <w:rsid w:val="007572A8"/>
    <w:rsid w:val="0075762D"/>
    <w:rsid w:val="007576F8"/>
    <w:rsid w:val="0075786E"/>
    <w:rsid w:val="007619E2"/>
    <w:rsid w:val="00761CC0"/>
    <w:rsid w:val="00761EF0"/>
    <w:rsid w:val="00763731"/>
    <w:rsid w:val="00763B49"/>
    <w:rsid w:val="00763C99"/>
    <w:rsid w:val="0076403C"/>
    <w:rsid w:val="007646CA"/>
    <w:rsid w:val="00764E4A"/>
    <w:rsid w:val="007667D1"/>
    <w:rsid w:val="0076710B"/>
    <w:rsid w:val="00767490"/>
    <w:rsid w:val="007678F0"/>
    <w:rsid w:val="0077035A"/>
    <w:rsid w:val="00770749"/>
    <w:rsid w:val="00770CF4"/>
    <w:rsid w:val="0077124B"/>
    <w:rsid w:val="00771BEE"/>
    <w:rsid w:val="00772404"/>
    <w:rsid w:val="007729FC"/>
    <w:rsid w:val="0077355D"/>
    <w:rsid w:val="007739C2"/>
    <w:rsid w:val="007739FE"/>
    <w:rsid w:val="00773B8E"/>
    <w:rsid w:val="007744FA"/>
    <w:rsid w:val="00774B76"/>
    <w:rsid w:val="00774EC6"/>
    <w:rsid w:val="0077507F"/>
    <w:rsid w:val="00775154"/>
    <w:rsid w:val="00775A61"/>
    <w:rsid w:val="00775A66"/>
    <w:rsid w:val="00775B10"/>
    <w:rsid w:val="00775E11"/>
    <w:rsid w:val="007762EB"/>
    <w:rsid w:val="0077711A"/>
    <w:rsid w:val="0077754C"/>
    <w:rsid w:val="00777853"/>
    <w:rsid w:val="00780942"/>
    <w:rsid w:val="00780A0F"/>
    <w:rsid w:val="00781774"/>
    <w:rsid w:val="00781F6E"/>
    <w:rsid w:val="00781FFA"/>
    <w:rsid w:val="0078209A"/>
    <w:rsid w:val="00782D8B"/>
    <w:rsid w:val="00782DDE"/>
    <w:rsid w:val="00782DE9"/>
    <w:rsid w:val="00782FA5"/>
    <w:rsid w:val="007831A0"/>
    <w:rsid w:val="00783362"/>
    <w:rsid w:val="00783D22"/>
    <w:rsid w:val="00785231"/>
    <w:rsid w:val="0078534E"/>
    <w:rsid w:val="0078565C"/>
    <w:rsid w:val="00785748"/>
    <w:rsid w:val="007864ED"/>
    <w:rsid w:val="00786D9F"/>
    <w:rsid w:val="007872F5"/>
    <w:rsid w:val="00787335"/>
    <w:rsid w:val="0078778C"/>
    <w:rsid w:val="00787F04"/>
    <w:rsid w:val="007902F6"/>
    <w:rsid w:val="007904CF"/>
    <w:rsid w:val="007908E1"/>
    <w:rsid w:val="00790C63"/>
    <w:rsid w:val="00791696"/>
    <w:rsid w:val="0079191A"/>
    <w:rsid w:val="00791D00"/>
    <w:rsid w:val="00792134"/>
    <w:rsid w:val="00792580"/>
    <w:rsid w:val="0079278B"/>
    <w:rsid w:val="00792D5D"/>
    <w:rsid w:val="007930F0"/>
    <w:rsid w:val="0079349E"/>
    <w:rsid w:val="007935B2"/>
    <w:rsid w:val="00793B54"/>
    <w:rsid w:val="00794120"/>
    <w:rsid w:val="00794AB0"/>
    <w:rsid w:val="00794C47"/>
    <w:rsid w:val="00794C97"/>
    <w:rsid w:val="00795156"/>
    <w:rsid w:val="00797426"/>
    <w:rsid w:val="007A026B"/>
    <w:rsid w:val="007A0ECB"/>
    <w:rsid w:val="007A13D4"/>
    <w:rsid w:val="007A1811"/>
    <w:rsid w:val="007A1DF2"/>
    <w:rsid w:val="007A21A4"/>
    <w:rsid w:val="007A5649"/>
    <w:rsid w:val="007A574F"/>
    <w:rsid w:val="007A5F4C"/>
    <w:rsid w:val="007A712C"/>
    <w:rsid w:val="007A7A89"/>
    <w:rsid w:val="007B0078"/>
    <w:rsid w:val="007B090B"/>
    <w:rsid w:val="007B0A94"/>
    <w:rsid w:val="007B0D08"/>
    <w:rsid w:val="007B0E37"/>
    <w:rsid w:val="007B1033"/>
    <w:rsid w:val="007B280A"/>
    <w:rsid w:val="007B2991"/>
    <w:rsid w:val="007B2DD7"/>
    <w:rsid w:val="007B3190"/>
    <w:rsid w:val="007B31A3"/>
    <w:rsid w:val="007B3B74"/>
    <w:rsid w:val="007B41AB"/>
    <w:rsid w:val="007B4242"/>
    <w:rsid w:val="007B461C"/>
    <w:rsid w:val="007B4DCB"/>
    <w:rsid w:val="007B4F7A"/>
    <w:rsid w:val="007B5754"/>
    <w:rsid w:val="007B6035"/>
    <w:rsid w:val="007B69BB"/>
    <w:rsid w:val="007B6BEE"/>
    <w:rsid w:val="007B70EA"/>
    <w:rsid w:val="007B7172"/>
    <w:rsid w:val="007C07C2"/>
    <w:rsid w:val="007C0B44"/>
    <w:rsid w:val="007C179D"/>
    <w:rsid w:val="007C2086"/>
    <w:rsid w:val="007C2A10"/>
    <w:rsid w:val="007C406B"/>
    <w:rsid w:val="007C4308"/>
    <w:rsid w:val="007C487B"/>
    <w:rsid w:val="007C4A88"/>
    <w:rsid w:val="007C52C0"/>
    <w:rsid w:val="007C5485"/>
    <w:rsid w:val="007C5573"/>
    <w:rsid w:val="007C58A2"/>
    <w:rsid w:val="007C5B0F"/>
    <w:rsid w:val="007C5EEA"/>
    <w:rsid w:val="007C6633"/>
    <w:rsid w:val="007C6AB7"/>
    <w:rsid w:val="007C6AED"/>
    <w:rsid w:val="007C6EA6"/>
    <w:rsid w:val="007C6F69"/>
    <w:rsid w:val="007C732E"/>
    <w:rsid w:val="007C7698"/>
    <w:rsid w:val="007C7D3D"/>
    <w:rsid w:val="007C7F2D"/>
    <w:rsid w:val="007C7F53"/>
    <w:rsid w:val="007D01C9"/>
    <w:rsid w:val="007D0359"/>
    <w:rsid w:val="007D0E15"/>
    <w:rsid w:val="007D2441"/>
    <w:rsid w:val="007D2787"/>
    <w:rsid w:val="007D2924"/>
    <w:rsid w:val="007D4AA1"/>
    <w:rsid w:val="007D4DBB"/>
    <w:rsid w:val="007D500C"/>
    <w:rsid w:val="007D5481"/>
    <w:rsid w:val="007D59FF"/>
    <w:rsid w:val="007D5B40"/>
    <w:rsid w:val="007D6095"/>
    <w:rsid w:val="007D6328"/>
    <w:rsid w:val="007D66AF"/>
    <w:rsid w:val="007E0EE0"/>
    <w:rsid w:val="007E12EE"/>
    <w:rsid w:val="007E15A4"/>
    <w:rsid w:val="007E1F08"/>
    <w:rsid w:val="007E22A6"/>
    <w:rsid w:val="007E23BA"/>
    <w:rsid w:val="007E24B9"/>
    <w:rsid w:val="007E2652"/>
    <w:rsid w:val="007E2676"/>
    <w:rsid w:val="007E2B54"/>
    <w:rsid w:val="007E2B80"/>
    <w:rsid w:val="007E33BC"/>
    <w:rsid w:val="007E3929"/>
    <w:rsid w:val="007E4199"/>
    <w:rsid w:val="007E41CE"/>
    <w:rsid w:val="007E44D1"/>
    <w:rsid w:val="007E455C"/>
    <w:rsid w:val="007E55B5"/>
    <w:rsid w:val="007E570D"/>
    <w:rsid w:val="007E5C58"/>
    <w:rsid w:val="007E63EA"/>
    <w:rsid w:val="007E693B"/>
    <w:rsid w:val="007E7192"/>
    <w:rsid w:val="007E74B3"/>
    <w:rsid w:val="007E7EAF"/>
    <w:rsid w:val="007F06FA"/>
    <w:rsid w:val="007F0BEC"/>
    <w:rsid w:val="007F0DBC"/>
    <w:rsid w:val="007F2493"/>
    <w:rsid w:val="007F256A"/>
    <w:rsid w:val="007F257B"/>
    <w:rsid w:val="007F3F5D"/>
    <w:rsid w:val="007F402E"/>
    <w:rsid w:val="007F4B63"/>
    <w:rsid w:val="007F4EBE"/>
    <w:rsid w:val="007F5238"/>
    <w:rsid w:val="007F5347"/>
    <w:rsid w:val="007F5FD8"/>
    <w:rsid w:val="007F6264"/>
    <w:rsid w:val="007F6274"/>
    <w:rsid w:val="007F6924"/>
    <w:rsid w:val="007F72AF"/>
    <w:rsid w:val="0080024C"/>
    <w:rsid w:val="008005AC"/>
    <w:rsid w:val="008007F7"/>
    <w:rsid w:val="00800E5A"/>
    <w:rsid w:val="00801949"/>
    <w:rsid w:val="00801D9B"/>
    <w:rsid w:val="008029CC"/>
    <w:rsid w:val="00802CFB"/>
    <w:rsid w:val="0080333D"/>
    <w:rsid w:val="008041F5"/>
    <w:rsid w:val="008042E3"/>
    <w:rsid w:val="00804A84"/>
    <w:rsid w:val="00804BBE"/>
    <w:rsid w:val="00804EEA"/>
    <w:rsid w:val="00806185"/>
    <w:rsid w:val="008062D3"/>
    <w:rsid w:val="00807CC7"/>
    <w:rsid w:val="00810941"/>
    <w:rsid w:val="00810AA8"/>
    <w:rsid w:val="00810FE4"/>
    <w:rsid w:val="0081119E"/>
    <w:rsid w:val="00812955"/>
    <w:rsid w:val="00812A5B"/>
    <w:rsid w:val="00813217"/>
    <w:rsid w:val="00813640"/>
    <w:rsid w:val="00813948"/>
    <w:rsid w:val="00813F24"/>
    <w:rsid w:val="00814036"/>
    <w:rsid w:val="008154E9"/>
    <w:rsid w:val="0081551C"/>
    <w:rsid w:val="00815CB1"/>
    <w:rsid w:val="008167B0"/>
    <w:rsid w:val="0081706C"/>
    <w:rsid w:val="008175B2"/>
    <w:rsid w:val="008177CF"/>
    <w:rsid w:val="00817D5D"/>
    <w:rsid w:val="0082049C"/>
    <w:rsid w:val="00820CD1"/>
    <w:rsid w:val="00820E96"/>
    <w:rsid w:val="008211ED"/>
    <w:rsid w:val="0082202B"/>
    <w:rsid w:val="00822040"/>
    <w:rsid w:val="0082305E"/>
    <w:rsid w:val="0082348F"/>
    <w:rsid w:val="0082389E"/>
    <w:rsid w:val="00823D3A"/>
    <w:rsid w:val="00824C1B"/>
    <w:rsid w:val="008250E9"/>
    <w:rsid w:val="00825661"/>
    <w:rsid w:val="00825926"/>
    <w:rsid w:val="00825F81"/>
    <w:rsid w:val="00826F90"/>
    <w:rsid w:val="00827101"/>
    <w:rsid w:val="00827541"/>
    <w:rsid w:val="00827B6C"/>
    <w:rsid w:val="00827F6D"/>
    <w:rsid w:val="0083014C"/>
    <w:rsid w:val="00830177"/>
    <w:rsid w:val="00830C82"/>
    <w:rsid w:val="00831142"/>
    <w:rsid w:val="00832966"/>
    <w:rsid w:val="00832D44"/>
    <w:rsid w:val="00834660"/>
    <w:rsid w:val="00834EF1"/>
    <w:rsid w:val="008353A3"/>
    <w:rsid w:val="00835476"/>
    <w:rsid w:val="008354F7"/>
    <w:rsid w:val="00835CAA"/>
    <w:rsid w:val="0083611E"/>
    <w:rsid w:val="00836480"/>
    <w:rsid w:val="00836793"/>
    <w:rsid w:val="00836A86"/>
    <w:rsid w:val="008372C8"/>
    <w:rsid w:val="0083756E"/>
    <w:rsid w:val="008426AB"/>
    <w:rsid w:val="00842DF9"/>
    <w:rsid w:val="0084305D"/>
    <w:rsid w:val="00843511"/>
    <w:rsid w:val="00843A62"/>
    <w:rsid w:val="00843B20"/>
    <w:rsid w:val="00843DF4"/>
    <w:rsid w:val="00843E00"/>
    <w:rsid w:val="00844850"/>
    <w:rsid w:val="008450CC"/>
    <w:rsid w:val="008455B1"/>
    <w:rsid w:val="00847F74"/>
    <w:rsid w:val="00850B9B"/>
    <w:rsid w:val="00850F67"/>
    <w:rsid w:val="008511A0"/>
    <w:rsid w:val="008511AE"/>
    <w:rsid w:val="008511EB"/>
    <w:rsid w:val="00851C53"/>
    <w:rsid w:val="00852516"/>
    <w:rsid w:val="00852E57"/>
    <w:rsid w:val="008534FF"/>
    <w:rsid w:val="008538E1"/>
    <w:rsid w:val="00853BAA"/>
    <w:rsid w:val="0085496A"/>
    <w:rsid w:val="0085570C"/>
    <w:rsid w:val="00855C17"/>
    <w:rsid w:val="00855F4B"/>
    <w:rsid w:val="00856FEA"/>
    <w:rsid w:val="00857DF9"/>
    <w:rsid w:val="00857EDE"/>
    <w:rsid w:val="008600CB"/>
    <w:rsid w:val="008607FD"/>
    <w:rsid w:val="008609A0"/>
    <w:rsid w:val="00860AE8"/>
    <w:rsid w:val="00860F67"/>
    <w:rsid w:val="008611E8"/>
    <w:rsid w:val="008613FC"/>
    <w:rsid w:val="008615D6"/>
    <w:rsid w:val="0086186E"/>
    <w:rsid w:val="008629B2"/>
    <w:rsid w:val="00862A95"/>
    <w:rsid w:val="00862A9F"/>
    <w:rsid w:val="0086334C"/>
    <w:rsid w:val="00864206"/>
    <w:rsid w:val="00864AB6"/>
    <w:rsid w:val="00864F1F"/>
    <w:rsid w:val="00865D0B"/>
    <w:rsid w:val="00865F84"/>
    <w:rsid w:val="0086666F"/>
    <w:rsid w:val="00866ED1"/>
    <w:rsid w:val="008679FA"/>
    <w:rsid w:val="00867A73"/>
    <w:rsid w:val="00871CB7"/>
    <w:rsid w:val="00872039"/>
    <w:rsid w:val="00872261"/>
    <w:rsid w:val="00872BCD"/>
    <w:rsid w:val="00873643"/>
    <w:rsid w:val="00873C1D"/>
    <w:rsid w:val="00873DBD"/>
    <w:rsid w:val="00874485"/>
    <w:rsid w:val="008756B9"/>
    <w:rsid w:val="00876BA4"/>
    <w:rsid w:val="00876D60"/>
    <w:rsid w:val="00876E29"/>
    <w:rsid w:val="00876F22"/>
    <w:rsid w:val="00877230"/>
    <w:rsid w:val="008773D3"/>
    <w:rsid w:val="00877F68"/>
    <w:rsid w:val="008800CE"/>
    <w:rsid w:val="008803D6"/>
    <w:rsid w:val="008806EE"/>
    <w:rsid w:val="00880861"/>
    <w:rsid w:val="0088094E"/>
    <w:rsid w:val="00880C4D"/>
    <w:rsid w:val="008810B6"/>
    <w:rsid w:val="008818F2"/>
    <w:rsid w:val="00881E82"/>
    <w:rsid w:val="00882204"/>
    <w:rsid w:val="00882CAB"/>
    <w:rsid w:val="00882CE8"/>
    <w:rsid w:val="0088333D"/>
    <w:rsid w:val="00883B7F"/>
    <w:rsid w:val="00884F45"/>
    <w:rsid w:val="008851C4"/>
    <w:rsid w:val="008853D1"/>
    <w:rsid w:val="008854DB"/>
    <w:rsid w:val="00886200"/>
    <w:rsid w:val="008864EE"/>
    <w:rsid w:val="008865CE"/>
    <w:rsid w:val="00886635"/>
    <w:rsid w:val="008872D5"/>
    <w:rsid w:val="00887CF0"/>
    <w:rsid w:val="00887EB9"/>
    <w:rsid w:val="00890A00"/>
    <w:rsid w:val="00890AD9"/>
    <w:rsid w:val="00891483"/>
    <w:rsid w:val="00891646"/>
    <w:rsid w:val="00891723"/>
    <w:rsid w:val="008917C4"/>
    <w:rsid w:val="00891912"/>
    <w:rsid w:val="008919DC"/>
    <w:rsid w:val="00891DAD"/>
    <w:rsid w:val="00891FF3"/>
    <w:rsid w:val="0089222A"/>
    <w:rsid w:val="008923A4"/>
    <w:rsid w:val="00892CD4"/>
    <w:rsid w:val="00894037"/>
    <w:rsid w:val="00895271"/>
    <w:rsid w:val="0089741F"/>
    <w:rsid w:val="00897B16"/>
    <w:rsid w:val="008A076A"/>
    <w:rsid w:val="008A10C0"/>
    <w:rsid w:val="008A1C1D"/>
    <w:rsid w:val="008A1C47"/>
    <w:rsid w:val="008A1CF8"/>
    <w:rsid w:val="008A1E6B"/>
    <w:rsid w:val="008A1FA6"/>
    <w:rsid w:val="008A21AD"/>
    <w:rsid w:val="008A24E1"/>
    <w:rsid w:val="008A2C66"/>
    <w:rsid w:val="008A2CED"/>
    <w:rsid w:val="008A2E0B"/>
    <w:rsid w:val="008A2EDC"/>
    <w:rsid w:val="008A3CC8"/>
    <w:rsid w:val="008A47DB"/>
    <w:rsid w:val="008A5158"/>
    <w:rsid w:val="008A52C9"/>
    <w:rsid w:val="008A5CAB"/>
    <w:rsid w:val="008A675E"/>
    <w:rsid w:val="008A6CD2"/>
    <w:rsid w:val="008A7121"/>
    <w:rsid w:val="008B002B"/>
    <w:rsid w:val="008B13C4"/>
    <w:rsid w:val="008B13DD"/>
    <w:rsid w:val="008B165B"/>
    <w:rsid w:val="008B16C0"/>
    <w:rsid w:val="008B1892"/>
    <w:rsid w:val="008B2F63"/>
    <w:rsid w:val="008B35D8"/>
    <w:rsid w:val="008B3859"/>
    <w:rsid w:val="008B391C"/>
    <w:rsid w:val="008B3A1C"/>
    <w:rsid w:val="008B3FD9"/>
    <w:rsid w:val="008B473B"/>
    <w:rsid w:val="008B5106"/>
    <w:rsid w:val="008B591A"/>
    <w:rsid w:val="008B7BC4"/>
    <w:rsid w:val="008B7D5A"/>
    <w:rsid w:val="008B7EE2"/>
    <w:rsid w:val="008C036A"/>
    <w:rsid w:val="008C055A"/>
    <w:rsid w:val="008C1032"/>
    <w:rsid w:val="008C1349"/>
    <w:rsid w:val="008C1CC2"/>
    <w:rsid w:val="008C1E68"/>
    <w:rsid w:val="008C1EB6"/>
    <w:rsid w:val="008C239F"/>
    <w:rsid w:val="008C2BFA"/>
    <w:rsid w:val="008C2C84"/>
    <w:rsid w:val="008C3096"/>
    <w:rsid w:val="008C36C8"/>
    <w:rsid w:val="008C47DE"/>
    <w:rsid w:val="008C4D3D"/>
    <w:rsid w:val="008C52BF"/>
    <w:rsid w:val="008C56A6"/>
    <w:rsid w:val="008C5D9D"/>
    <w:rsid w:val="008C5EBC"/>
    <w:rsid w:val="008C68C2"/>
    <w:rsid w:val="008C70E9"/>
    <w:rsid w:val="008C712D"/>
    <w:rsid w:val="008C73B5"/>
    <w:rsid w:val="008C7B40"/>
    <w:rsid w:val="008D14B7"/>
    <w:rsid w:val="008D18B0"/>
    <w:rsid w:val="008D1A44"/>
    <w:rsid w:val="008D1F94"/>
    <w:rsid w:val="008D1FEB"/>
    <w:rsid w:val="008D25EC"/>
    <w:rsid w:val="008D272D"/>
    <w:rsid w:val="008D273B"/>
    <w:rsid w:val="008D2DE5"/>
    <w:rsid w:val="008D2F76"/>
    <w:rsid w:val="008D2FF5"/>
    <w:rsid w:val="008D32A3"/>
    <w:rsid w:val="008D3A30"/>
    <w:rsid w:val="008D4837"/>
    <w:rsid w:val="008D4C23"/>
    <w:rsid w:val="008D4D7D"/>
    <w:rsid w:val="008D536A"/>
    <w:rsid w:val="008D572D"/>
    <w:rsid w:val="008D5A40"/>
    <w:rsid w:val="008D5BE1"/>
    <w:rsid w:val="008D6616"/>
    <w:rsid w:val="008D6E77"/>
    <w:rsid w:val="008D7398"/>
    <w:rsid w:val="008D79CD"/>
    <w:rsid w:val="008E011C"/>
    <w:rsid w:val="008E026A"/>
    <w:rsid w:val="008E1CBA"/>
    <w:rsid w:val="008E1CFD"/>
    <w:rsid w:val="008E2949"/>
    <w:rsid w:val="008E33B1"/>
    <w:rsid w:val="008E3D3C"/>
    <w:rsid w:val="008E447F"/>
    <w:rsid w:val="008E4890"/>
    <w:rsid w:val="008E582D"/>
    <w:rsid w:val="008E5DBC"/>
    <w:rsid w:val="008E6D19"/>
    <w:rsid w:val="008E6D77"/>
    <w:rsid w:val="008E7917"/>
    <w:rsid w:val="008E7B0E"/>
    <w:rsid w:val="008E7C74"/>
    <w:rsid w:val="008F0585"/>
    <w:rsid w:val="008F0AD0"/>
    <w:rsid w:val="008F0EE1"/>
    <w:rsid w:val="008F1055"/>
    <w:rsid w:val="008F16C7"/>
    <w:rsid w:val="008F290D"/>
    <w:rsid w:val="008F2A3E"/>
    <w:rsid w:val="008F3657"/>
    <w:rsid w:val="008F3999"/>
    <w:rsid w:val="008F3DA1"/>
    <w:rsid w:val="008F3F67"/>
    <w:rsid w:val="008F40B6"/>
    <w:rsid w:val="008F4167"/>
    <w:rsid w:val="008F45D8"/>
    <w:rsid w:val="008F4761"/>
    <w:rsid w:val="008F4B1B"/>
    <w:rsid w:val="008F4B8E"/>
    <w:rsid w:val="008F5223"/>
    <w:rsid w:val="008F54C4"/>
    <w:rsid w:val="008F577F"/>
    <w:rsid w:val="008F5947"/>
    <w:rsid w:val="008F5FD0"/>
    <w:rsid w:val="008F637A"/>
    <w:rsid w:val="008F644A"/>
    <w:rsid w:val="008F68CD"/>
    <w:rsid w:val="008F70AE"/>
    <w:rsid w:val="008F749E"/>
    <w:rsid w:val="008F75FA"/>
    <w:rsid w:val="008F7757"/>
    <w:rsid w:val="008F7DFA"/>
    <w:rsid w:val="00900697"/>
    <w:rsid w:val="00900DFD"/>
    <w:rsid w:val="00901125"/>
    <w:rsid w:val="00901172"/>
    <w:rsid w:val="009024D8"/>
    <w:rsid w:val="00902D38"/>
    <w:rsid w:val="00902EB3"/>
    <w:rsid w:val="00903D98"/>
    <w:rsid w:val="00903EA0"/>
    <w:rsid w:val="00905896"/>
    <w:rsid w:val="00905898"/>
    <w:rsid w:val="00905999"/>
    <w:rsid w:val="00905A8D"/>
    <w:rsid w:val="00906454"/>
    <w:rsid w:val="00906CDD"/>
    <w:rsid w:val="009070C0"/>
    <w:rsid w:val="0090795D"/>
    <w:rsid w:val="009101AD"/>
    <w:rsid w:val="009104C0"/>
    <w:rsid w:val="00910BCF"/>
    <w:rsid w:val="009113C0"/>
    <w:rsid w:val="00911679"/>
    <w:rsid w:val="00911A54"/>
    <w:rsid w:val="00911F8B"/>
    <w:rsid w:val="0091250E"/>
    <w:rsid w:val="00912AC2"/>
    <w:rsid w:val="00912C28"/>
    <w:rsid w:val="00913D79"/>
    <w:rsid w:val="00913D92"/>
    <w:rsid w:val="00914992"/>
    <w:rsid w:val="00914B83"/>
    <w:rsid w:val="0091599D"/>
    <w:rsid w:val="00916057"/>
    <w:rsid w:val="009178A6"/>
    <w:rsid w:val="00920093"/>
    <w:rsid w:val="0092032C"/>
    <w:rsid w:val="00920C80"/>
    <w:rsid w:val="00921439"/>
    <w:rsid w:val="009215E3"/>
    <w:rsid w:val="009215F5"/>
    <w:rsid w:val="009217D7"/>
    <w:rsid w:val="00922071"/>
    <w:rsid w:val="0092296B"/>
    <w:rsid w:val="00923893"/>
    <w:rsid w:val="00923AF3"/>
    <w:rsid w:val="00923C82"/>
    <w:rsid w:val="00925431"/>
    <w:rsid w:val="00926AAB"/>
    <w:rsid w:val="00927464"/>
    <w:rsid w:val="00927887"/>
    <w:rsid w:val="009278B7"/>
    <w:rsid w:val="009301A7"/>
    <w:rsid w:val="009301E9"/>
    <w:rsid w:val="0093032A"/>
    <w:rsid w:val="00930360"/>
    <w:rsid w:val="00930B98"/>
    <w:rsid w:val="00930E41"/>
    <w:rsid w:val="0093176F"/>
    <w:rsid w:val="00931A56"/>
    <w:rsid w:val="00932055"/>
    <w:rsid w:val="00932153"/>
    <w:rsid w:val="00932422"/>
    <w:rsid w:val="0093246A"/>
    <w:rsid w:val="00932E9B"/>
    <w:rsid w:val="009331D1"/>
    <w:rsid w:val="00933FDE"/>
    <w:rsid w:val="00934A26"/>
    <w:rsid w:val="00934D56"/>
    <w:rsid w:val="00935086"/>
    <w:rsid w:val="009352CF"/>
    <w:rsid w:val="00935786"/>
    <w:rsid w:val="009362C4"/>
    <w:rsid w:val="0093696A"/>
    <w:rsid w:val="00936E8C"/>
    <w:rsid w:val="009377E2"/>
    <w:rsid w:val="00937DF1"/>
    <w:rsid w:val="00941540"/>
    <w:rsid w:val="009417D8"/>
    <w:rsid w:val="009420AE"/>
    <w:rsid w:val="009428A8"/>
    <w:rsid w:val="009435D8"/>
    <w:rsid w:val="009438D0"/>
    <w:rsid w:val="00943C9D"/>
    <w:rsid w:val="00943FE1"/>
    <w:rsid w:val="00944D45"/>
    <w:rsid w:val="00944E10"/>
    <w:rsid w:val="009453CC"/>
    <w:rsid w:val="00945BE5"/>
    <w:rsid w:val="00945F91"/>
    <w:rsid w:val="0094609D"/>
    <w:rsid w:val="00946642"/>
    <w:rsid w:val="0094669D"/>
    <w:rsid w:val="00946FFA"/>
    <w:rsid w:val="009474EF"/>
    <w:rsid w:val="00947CA0"/>
    <w:rsid w:val="00951750"/>
    <w:rsid w:val="00951828"/>
    <w:rsid w:val="00952B83"/>
    <w:rsid w:val="00954E2A"/>
    <w:rsid w:val="00954EE7"/>
    <w:rsid w:val="009552DA"/>
    <w:rsid w:val="00955592"/>
    <w:rsid w:val="00956449"/>
    <w:rsid w:val="00956AA8"/>
    <w:rsid w:val="0095706E"/>
    <w:rsid w:val="009578FF"/>
    <w:rsid w:val="00957A65"/>
    <w:rsid w:val="009603E6"/>
    <w:rsid w:val="009605E8"/>
    <w:rsid w:val="00960F49"/>
    <w:rsid w:val="0096159C"/>
    <w:rsid w:val="00961DBC"/>
    <w:rsid w:val="009628D2"/>
    <w:rsid w:val="0096352E"/>
    <w:rsid w:val="00963C43"/>
    <w:rsid w:val="00963EFD"/>
    <w:rsid w:val="0096429C"/>
    <w:rsid w:val="009644B6"/>
    <w:rsid w:val="0096467E"/>
    <w:rsid w:val="00965E30"/>
    <w:rsid w:val="009668CF"/>
    <w:rsid w:val="00966A1D"/>
    <w:rsid w:val="00966C79"/>
    <w:rsid w:val="00966FEB"/>
    <w:rsid w:val="00967034"/>
    <w:rsid w:val="009677E4"/>
    <w:rsid w:val="009679EE"/>
    <w:rsid w:val="00967EB8"/>
    <w:rsid w:val="00970125"/>
    <w:rsid w:val="0097069E"/>
    <w:rsid w:val="009715E6"/>
    <w:rsid w:val="00971CB1"/>
    <w:rsid w:val="00972169"/>
    <w:rsid w:val="0097216D"/>
    <w:rsid w:val="00972C4E"/>
    <w:rsid w:val="00972F47"/>
    <w:rsid w:val="00973971"/>
    <w:rsid w:val="00973A16"/>
    <w:rsid w:val="0097479B"/>
    <w:rsid w:val="009748CC"/>
    <w:rsid w:val="009755F9"/>
    <w:rsid w:val="009757A5"/>
    <w:rsid w:val="00975891"/>
    <w:rsid w:val="00975F07"/>
    <w:rsid w:val="009767B5"/>
    <w:rsid w:val="0097709A"/>
    <w:rsid w:val="00977361"/>
    <w:rsid w:val="00977C47"/>
    <w:rsid w:val="0098022D"/>
    <w:rsid w:val="00980BB5"/>
    <w:rsid w:val="00980BD7"/>
    <w:rsid w:val="00980CBF"/>
    <w:rsid w:val="00980F8E"/>
    <w:rsid w:val="00981013"/>
    <w:rsid w:val="00981527"/>
    <w:rsid w:val="00981569"/>
    <w:rsid w:val="0098167C"/>
    <w:rsid w:val="009819E5"/>
    <w:rsid w:val="00981E8C"/>
    <w:rsid w:val="00982059"/>
    <w:rsid w:val="00982211"/>
    <w:rsid w:val="00982692"/>
    <w:rsid w:val="009827EB"/>
    <w:rsid w:val="0098363A"/>
    <w:rsid w:val="009851E5"/>
    <w:rsid w:val="009856CE"/>
    <w:rsid w:val="009857E7"/>
    <w:rsid w:val="00985806"/>
    <w:rsid w:val="0098616B"/>
    <w:rsid w:val="009869E9"/>
    <w:rsid w:val="00986ABA"/>
    <w:rsid w:val="009870C8"/>
    <w:rsid w:val="0098719D"/>
    <w:rsid w:val="00987425"/>
    <w:rsid w:val="00987998"/>
    <w:rsid w:val="0099035F"/>
    <w:rsid w:val="00990AA8"/>
    <w:rsid w:val="00991537"/>
    <w:rsid w:val="00991B3F"/>
    <w:rsid w:val="00991D28"/>
    <w:rsid w:val="009924AA"/>
    <w:rsid w:val="009927FB"/>
    <w:rsid w:val="009945E7"/>
    <w:rsid w:val="009949E3"/>
    <w:rsid w:val="00994C45"/>
    <w:rsid w:val="00994F9A"/>
    <w:rsid w:val="0099529B"/>
    <w:rsid w:val="0099550D"/>
    <w:rsid w:val="00995A22"/>
    <w:rsid w:val="0099605D"/>
    <w:rsid w:val="0099634D"/>
    <w:rsid w:val="00996402"/>
    <w:rsid w:val="00996563"/>
    <w:rsid w:val="00996705"/>
    <w:rsid w:val="00997530"/>
    <w:rsid w:val="00997563"/>
    <w:rsid w:val="009A04AB"/>
    <w:rsid w:val="009A1743"/>
    <w:rsid w:val="009A1812"/>
    <w:rsid w:val="009A2CFA"/>
    <w:rsid w:val="009A2D62"/>
    <w:rsid w:val="009A4CC7"/>
    <w:rsid w:val="009A4E56"/>
    <w:rsid w:val="009A5A08"/>
    <w:rsid w:val="009A5BE4"/>
    <w:rsid w:val="009A5D1F"/>
    <w:rsid w:val="009A68F0"/>
    <w:rsid w:val="009A7071"/>
    <w:rsid w:val="009A729F"/>
    <w:rsid w:val="009A7E31"/>
    <w:rsid w:val="009B0137"/>
    <w:rsid w:val="009B077B"/>
    <w:rsid w:val="009B0B20"/>
    <w:rsid w:val="009B1B40"/>
    <w:rsid w:val="009B2469"/>
    <w:rsid w:val="009B27C6"/>
    <w:rsid w:val="009B2D51"/>
    <w:rsid w:val="009B2E1C"/>
    <w:rsid w:val="009B30BB"/>
    <w:rsid w:val="009B37F4"/>
    <w:rsid w:val="009B3F3A"/>
    <w:rsid w:val="009B4162"/>
    <w:rsid w:val="009B4801"/>
    <w:rsid w:val="009B5429"/>
    <w:rsid w:val="009B5436"/>
    <w:rsid w:val="009B56EC"/>
    <w:rsid w:val="009B5EAC"/>
    <w:rsid w:val="009B5F06"/>
    <w:rsid w:val="009B6980"/>
    <w:rsid w:val="009C034A"/>
    <w:rsid w:val="009C0767"/>
    <w:rsid w:val="009C1769"/>
    <w:rsid w:val="009C25F9"/>
    <w:rsid w:val="009C2CAA"/>
    <w:rsid w:val="009C31CE"/>
    <w:rsid w:val="009C34BA"/>
    <w:rsid w:val="009C3BD5"/>
    <w:rsid w:val="009C3D4F"/>
    <w:rsid w:val="009C453F"/>
    <w:rsid w:val="009C495C"/>
    <w:rsid w:val="009C5276"/>
    <w:rsid w:val="009C6562"/>
    <w:rsid w:val="009C665A"/>
    <w:rsid w:val="009C7559"/>
    <w:rsid w:val="009C7612"/>
    <w:rsid w:val="009C7686"/>
    <w:rsid w:val="009C7D78"/>
    <w:rsid w:val="009C7F4F"/>
    <w:rsid w:val="009D0033"/>
    <w:rsid w:val="009D0B2B"/>
    <w:rsid w:val="009D0E9C"/>
    <w:rsid w:val="009D1028"/>
    <w:rsid w:val="009D1627"/>
    <w:rsid w:val="009D1D89"/>
    <w:rsid w:val="009D1FCD"/>
    <w:rsid w:val="009D2334"/>
    <w:rsid w:val="009D25CC"/>
    <w:rsid w:val="009D309D"/>
    <w:rsid w:val="009D3706"/>
    <w:rsid w:val="009D3B98"/>
    <w:rsid w:val="009D433A"/>
    <w:rsid w:val="009D43AF"/>
    <w:rsid w:val="009D45DE"/>
    <w:rsid w:val="009D46E5"/>
    <w:rsid w:val="009D55A3"/>
    <w:rsid w:val="009D58B3"/>
    <w:rsid w:val="009D60A1"/>
    <w:rsid w:val="009D6206"/>
    <w:rsid w:val="009D6374"/>
    <w:rsid w:val="009D6414"/>
    <w:rsid w:val="009D68E0"/>
    <w:rsid w:val="009D6F0E"/>
    <w:rsid w:val="009D70E4"/>
    <w:rsid w:val="009D7240"/>
    <w:rsid w:val="009D7898"/>
    <w:rsid w:val="009D7C45"/>
    <w:rsid w:val="009E08B7"/>
    <w:rsid w:val="009E1E69"/>
    <w:rsid w:val="009E20CC"/>
    <w:rsid w:val="009E2415"/>
    <w:rsid w:val="009E2730"/>
    <w:rsid w:val="009E2B1E"/>
    <w:rsid w:val="009E2B54"/>
    <w:rsid w:val="009E35F6"/>
    <w:rsid w:val="009E3884"/>
    <w:rsid w:val="009E4004"/>
    <w:rsid w:val="009E439D"/>
    <w:rsid w:val="009E589C"/>
    <w:rsid w:val="009E59F5"/>
    <w:rsid w:val="009E5B63"/>
    <w:rsid w:val="009E6445"/>
    <w:rsid w:val="009E737E"/>
    <w:rsid w:val="009E77D4"/>
    <w:rsid w:val="009F03A1"/>
    <w:rsid w:val="009F07C9"/>
    <w:rsid w:val="009F15F6"/>
    <w:rsid w:val="009F19B3"/>
    <w:rsid w:val="009F2B60"/>
    <w:rsid w:val="009F2E34"/>
    <w:rsid w:val="009F3842"/>
    <w:rsid w:val="009F38EE"/>
    <w:rsid w:val="009F3BCD"/>
    <w:rsid w:val="009F48A3"/>
    <w:rsid w:val="009F4F06"/>
    <w:rsid w:val="009F5312"/>
    <w:rsid w:val="009F54F9"/>
    <w:rsid w:val="009F6820"/>
    <w:rsid w:val="009F6882"/>
    <w:rsid w:val="009F792D"/>
    <w:rsid w:val="009F7DA5"/>
    <w:rsid w:val="009F7E76"/>
    <w:rsid w:val="009F7FE5"/>
    <w:rsid w:val="00A01638"/>
    <w:rsid w:val="00A017AC"/>
    <w:rsid w:val="00A020F1"/>
    <w:rsid w:val="00A021AB"/>
    <w:rsid w:val="00A025F1"/>
    <w:rsid w:val="00A02960"/>
    <w:rsid w:val="00A02A77"/>
    <w:rsid w:val="00A02D77"/>
    <w:rsid w:val="00A03032"/>
    <w:rsid w:val="00A0334E"/>
    <w:rsid w:val="00A03D04"/>
    <w:rsid w:val="00A03E79"/>
    <w:rsid w:val="00A04105"/>
    <w:rsid w:val="00A04535"/>
    <w:rsid w:val="00A054FB"/>
    <w:rsid w:val="00A05691"/>
    <w:rsid w:val="00A05CEA"/>
    <w:rsid w:val="00A05FA8"/>
    <w:rsid w:val="00A070E0"/>
    <w:rsid w:val="00A073EE"/>
    <w:rsid w:val="00A07493"/>
    <w:rsid w:val="00A074A2"/>
    <w:rsid w:val="00A0767C"/>
    <w:rsid w:val="00A105BD"/>
    <w:rsid w:val="00A11213"/>
    <w:rsid w:val="00A11721"/>
    <w:rsid w:val="00A11B3E"/>
    <w:rsid w:val="00A11C30"/>
    <w:rsid w:val="00A12128"/>
    <w:rsid w:val="00A1239B"/>
    <w:rsid w:val="00A127C1"/>
    <w:rsid w:val="00A13285"/>
    <w:rsid w:val="00A13820"/>
    <w:rsid w:val="00A142D6"/>
    <w:rsid w:val="00A1437D"/>
    <w:rsid w:val="00A14DED"/>
    <w:rsid w:val="00A1599F"/>
    <w:rsid w:val="00A15F6E"/>
    <w:rsid w:val="00A16566"/>
    <w:rsid w:val="00A177EC"/>
    <w:rsid w:val="00A20550"/>
    <w:rsid w:val="00A22AE9"/>
    <w:rsid w:val="00A22D6D"/>
    <w:rsid w:val="00A22ED6"/>
    <w:rsid w:val="00A22EFD"/>
    <w:rsid w:val="00A231CA"/>
    <w:rsid w:val="00A23448"/>
    <w:rsid w:val="00A23744"/>
    <w:rsid w:val="00A2505C"/>
    <w:rsid w:val="00A25C79"/>
    <w:rsid w:val="00A25E37"/>
    <w:rsid w:val="00A26384"/>
    <w:rsid w:val="00A266FB"/>
    <w:rsid w:val="00A27C2B"/>
    <w:rsid w:val="00A303D2"/>
    <w:rsid w:val="00A309DA"/>
    <w:rsid w:val="00A30AF7"/>
    <w:rsid w:val="00A311DB"/>
    <w:rsid w:val="00A31A1E"/>
    <w:rsid w:val="00A3359C"/>
    <w:rsid w:val="00A3372A"/>
    <w:rsid w:val="00A33A60"/>
    <w:rsid w:val="00A33E2B"/>
    <w:rsid w:val="00A34352"/>
    <w:rsid w:val="00A346F7"/>
    <w:rsid w:val="00A3471F"/>
    <w:rsid w:val="00A34815"/>
    <w:rsid w:val="00A34A81"/>
    <w:rsid w:val="00A34EEF"/>
    <w:rsid w:val="00A35225"/>
    <w:rsid w:val="00A35385"/>
    <w:rsid w:val="00A353B1"/>
    <w:rsid w:val="00A355B9"/>
    <w:rsid w:val="00A35FA7"/>
    <w:rsid w:val="00A36BE6"/>
    <w:rsid w:val="00A36C8E"/>
    <w:rsid w:val="00A36EFD"/>
    <w:rsid w:val="00A3748D"/>
    <w:rsid w:val="00A401FC"/>
    <w:rsid w:val="00A403BF"/>
    <w:rsid w:val="00A40580"/>
    <w:rsid w:val="00A40863"/>
    <w:rsid w:val="00A40C8E"/>
    <w:rsid w:val="00A40CEC"/>
    <w:rsid w:val="00A41638"/>
    <w:rsid w:val="00A4193E"/>
    <w:rsid w:val="00A42381"/>
    <w:rsid w:val="00A42470"/>
    <w:rsid w:val="00A427A9"/>
    <w:rsid w:val="00A42FD4"/>
    <w:rsid w:val="00A4364F"/>
    <w:rsid w:val="00A43B4C"/>
    <w:rsid w:val="00A43FD2"/>
    <w:rsid w:val="00A440C2"/>
    <w:rsid w:val="00A445E4"/>
    <w:rsid w:val="00A451E5"/>
    <w:rsid w:val="00A4553D"/>
    <w:rsid w:val="00A45954"/>
    <w:rsid w:val="00A45E2E"/>
    <w:rsid w:val="00A462C1"/>
    <w:rsid w:val="00A46764"/>
    <w:rsid w:val="00A47942"/>
    <w:rsid w:val="00A47DEA"/>
    <w:rsid w:val="00A50054"/>
    <w:rsid w:val="00A505C3"/>
    <w:rsid w:val="00A509E9"/>
    <w:rsid w:val="00A50C83"/>
    <w:rsid w:val="00A51281"/>
    <w:rsid w:val="00A523C2"/>
    <w:rsid w:val="00A52CDA"/>
    <w:rsid w:val="00A53119"/>
    <w:rsid w:val="00A53506"/>
    <w:rsid w:val="00A5388E"/>
    <w:rsid w:val="00A5482E"/>
    <w:rsid w:val="00A54D17"/>
    <w:rsid w:val="00A55AEC"/>
    <w:rsid w:val="00A55D81"/>
    <w:rsid w:val="00A568DA"/>
    <w:rsid w:val="00A57C7C"/>
    <w:rsid w:val="00A60052"/>
    <w:rsid w:val="00A6021A"/>
    <w:rsid w:val="00A609F4"/>
    <w:rsid w:val="00A61401"/>
    <w:rsid w:val="00A61AC0"/>
    <w:rsid w:val="00A6272D"/>
    <w:rsid w:val="00A62BBA"/>
    <w:rsid w:val="00A631D0"/>
    <w:rsid w:val="00A637AB"/>
    <w:rsid w:val="00A63D59"/>
    <w:rsid w:val="00A642D8"/>
    <w:rsid w:val="00A6467A"/>
    <w:rsid w:val="00A64B81"/>
    <w:rsid w:val="00A64EC9"/>
    <w:rsid w:val="00A65525"/>
    <w:rsid w:val="00A657D4"/>
    <w:rsid w:val="00A65A2B"/>
    <w:rsid w:val="00A65F59"/>
    <w:rsid w:val="00A668AA"/>
    <w:rsid w:val="00A672B1"/>
    <w:rsid w:val="00A67AB7"/>
    <w:rsid w:val="00A67C48"/>
    <w:rsid w:val="00A67E9F"/>
    <w:rsid w:val="00A70C4A"/>
    <w:rsid w:val="00A70DCD"/>
    <w:rsid w:val="00A712F6"/>
    <w:rsid w:val="00A7184A"/>
    <w:rsid w:val="00A71A36"/>
    <w:rsid w:val="00A720E0"/>
    <w:rsid w:val="00A725BD"/>
    <w:rsid w:val="00A734F2"/>
    <w:rsid w:val="00A7412E"/>
    <w:rsid w:val="00A74382"/>
    <w:rsid w:val="00A7481B"/>
    <w:rsid w:val="00A74D9C"/>
    <w:rsid w:val="00A74EB9"/>
    <w:rsid w:val="00A7508B"/>
    <w:rsid w:val="00A7562C"/>
    <w:rsid w:val="00A75ABA"/>
    <w:rsid w:val="00A75CAD"/>
    <w:rsid w:val="00A75DEC"/>
    <w:rsid w:val="00A7645F"/>
    <w:rsid w:val="00A768EF"/>
    <w:rsid w:val="00A8026D"/>
    <w:rsid w:val="00A80A93"/>
    <w:rsid w:val="00A81090"/>
    <w:rsid w:val="00A81D9A"/>
    <w:rsid w:val="00A81F0D"/>
    <w:rsid w:val="00A820BA"/>
    <w:rsid w:val="00A826F6"/>
    <w:rsid w:val="00A82F80"/>
    <w:rsid w:val="00A831EC"/>
    <w:rsid w:val="00A84C14"/>
    <w:rsid w:val="00A86226"/>
    <w:rsid w:val="00A87175"/>
    <w:rsid w:val="00A90064"/>
    <w:rsid w:val="00A90CA0"/>
    <w:rsid w:val="00A90E5C"/>
    <w:rsid w:val="00A9100E"/>
    <w:rsid w:val="00A912F2"/>
    <w:rsid w:val="00A91552"/>
    <w:rsid w:val="00A91C68"/>
    <w:rsid w:val="00A920B7"/>
    <w:rsid w:val="00A92F09"/>
    <w:rsid w:val="00A93B11"/>
    <w:rsid w:val="00A9431B"/>
    <w:rsid w:val="00A94F14"/>
    <w:rsid w:val="00A952C6"/>
    <w:rsid w:val="00A95727"/>
    <w:rsid w:val="00A95781"/>
    <w:rsid w:val="00A95B89"/>
    <w:rsid w:val="00A960E0"/>
    <w:rsid w:val="00A9619D"/>
    <w:rsid w:val="00A96238"/>
    <w:rsid w:val="00A965FA"/>
    <w:rsid w:val="00A9669A"/>
    <w:rsid w:val="00A96D4E"/>
    <w:rsid w:val="00A971BC"/>
    <w:rsid w:val="00A978FE"/>
    <w:rsid w:val="00AA02DA"/>
    <w:rsid w:val="00AA0E9E"/>
    <w:rsid w:val="00AA1813"/>
    <w:rsid w:val="00AA1FC1"/>
    <w:rsid w:val="00AA1FE9"/>
    <w:rsid w:val="00AA210D"/>
    <w:rsid w:val="00AA26B9"/>
    <w:rsid w:val="00AA30C1"/>
    <w:rsid w:val="00AA3824"/>
    <w:rsid w:val="00AA4235"/>
    <w:rsid w:val="00AA4D9D"/>
    <w:rsid w:val="00AA5267"/>
    <w:rsid w:val="00AA5317"/>
    <w:rsid w:val="00AA5606"/>
    <w:rsid w:val="00AA64E0"/>
    <w:rsid w:val="00AA6A90"/>
    <w:rsid w:val="00AA6C89"/>
    <w:rsid w:val="00AA7997"/>
    <w:rsid w:val="00AA7E34"/>
    <w:rsid w:val="00AB0732"/>
    <w:rsid w:val="00AB0752"/>
    <w:rsid w:val="00AB0C5D"/>
    <w:rsid w:val="00AB1699"/>
    <w:rsid w:val="00AB18F9"/>
    <w:rsid w:val="00AB2150"/>
    <w:rsid w:val="00AB221F"/>
    <w:rsid w:val="00AB2286"/>
    <w:rsid w:val="00AB244F"/>
    <w:rsid w:val="00AB2476"/>
    <w:rsid w:val="00AB3286"/>
    <w:rsid w:val="00AB3A79"/>
    <w:rsid w:val="00AB3D54"/>
    <w:rsid w:val="00AB4194"/>
    <w:rsid w:val="00AB4B22"/>
    <w:rsid w:val="00AB532A"/>
    <w:rsid w:val="00AB564F"/>
    <w:rsid w:val="00AB5AA8"/>
    <w:rsid w:val="00AB5F56"/>
    <w:rsid w:val="00AB65FA"/>
    <w:rsid w:val="00AB65FD"/>
    <w:rsid w:val="00AB664A"/>
    <w:rsid w:val="00AB68AC"/>
    <w:rsid w:val="00AB7327"/>
    <w:rsid w:val="00AB760A"/>
    <w:rsid w:val="00AB7A1A"/>
    <w:rsid w:val="00AC06B8"/>
    <w:rsid w:val="00AC07B3"/>
    <w:rsid w:val="00AC12E0"/>
    <w:rsid w:val="00AC1708"/>
    <w:rsid w:val="00AC2589"/>
    <w:rsid w:val="00AC3813"/>
    <w:rsid w:val="00AC45FA"/>
    <w:rsid w:val="00AC4A24"/>
    <w:rsid w:val="00AC5E26"/>
    <w:rsid w:val="00AC60FA"/>
    <w:rsid w:val="00AC667D"/>
    <w:rsid w:val="00AC7485"/>
    <w:rsid w:val="00AC7D79"/>
    <w:rsid w:val="00AD0359"/>
    <w:rsid w:val="00AD04B9"/>
    <w:rsid w:val="00AD076F"/>
    <w:rsid w:val="00AD09B0"/>
    <w:rsid w:val="00AD1335"/>
    <w:rsid w:val="00AD155A"/>
    <w:rsid w:val="00AD1BE4"/>
    <w:rsid w:val="00AD2267"/>
    <w:rsid w:val="00AD2BC3"/>
    <w:rsid w:val="00AD2D78"/>
    <w:rsid w:val="00AD2D93"/>
    <w:rsid w:val="00AD2E3E"/>
    <w:rsid w:val="00AD2FEE"/>
    <w:rsid w:val="00AD30E1"/>
    <w:rsid w:val="00AD3267"/>
    <w:rsid w:val="00AD3D29"/>
    <w:rsid w:val="00AD45EA"/>
    <w:rsid w:val="00AD4C4E"/>
    <w:rsid w:val="00AD5105"/>
    <w:rsid w:val="00AD51EE"/>
    <w:rsid w:val="00AD579A"/>
    <w:rsid w:val="00AD5AE3"/>
    <w:rsid w:val="00AD5D25"/>
    <w:rsid w:val="00AD60F5"/>
    <w:rsid w:val="00AD6948"/>
    <w:rsid w:val="00AD69C9"/>
    <w:rsid w:val="00AD6C10"/>
    <w:rsid w:val="00AD6E93"/>
    <w:rsid w:val="00AD6EF5"/>
    <w:rsid w:val="00AE0195"/>
    <w:rsid w:val="00AE04EA"/>
    <w:rsid w:val="00AE06CF"/>
    <w:rsid w:val="00AE07BA"/>
    <w:rsid w:val="00AE096C"/>
    <w:rsid w:val="00AE0BE7"/>
    <w:rsid w:val="00AE1496"/>
    <w:rsid w:val="00AE1646"/>
    <w:rsid w:val="00AE187A"/>
    <w:rsid w:val="00AE29CA"/>
    <w:rsid w:val="00AE33D3"/>
    <w:rsid w:val="00AE402C"/>
    <w:rsid w:val="00AE4679"/>
    <w:rsid w:val="00AE4F0E"/>
    <w:rsid w:val="00AE5BF2"/>
    <w:rsid w:val="00AE7041"/>
    <w:rsid w:val="00AE7205"/>
    <w:rsid w:val="00AE7376"/>
    <w:rsid w:val="00AE79C8"/>
    <w:rsid w:val="00AE7FBD"/>
    <w:rsid w:val="00AF10AE"/>
    <w:rsid w:val="00AF1457"/>
    <w:rsid w:val="00AF16FB"/>
    <w:rsid w:val="00AF1985"/>
    <w:rsid w:val="00AF1C8B"/>
    <w:rsid w:val="00AF1F29"/>
    <w:rsid w:val="00AF203C"/>
    <w:rsid w:val="00AF2587"/>
    <w:rsid w:val="00AF31D1"/>
    <w:rsid w:val="00AF3F69"/>
    <w:rsid w:val="00AF4383"/>
    <w:rsid w:val="00AF57E5"/>
    <w:rsid w:val="00AF6333"/>
    <w:rsid w:val="00AF6925"/>
    <w:rsid w:val="00AF6F70"/>
    <w:rsid w:val="00AF7062"/>
    <w:rsid w:val="00AF718F"/>
    <w:rsid w:val="00B00887"/>
    <w:rsid w:val="00B00BF1"/>
    <w:rsid w:val="00B017EA"/>
    <w:rsid w:val="00B0247A"/>
    <w:rsid w:val="00B02544"/>
    <w:rsid w:val="00B0357C"/>
    <w:rsid w:val="00B0395A"/>
    <w:rsid w:val="00B03FE7"/>
    <w:rsid w:val="00B048F4"/>
    <w:rsid w:val="00B04C44"/>
    <w:rsid w:val="00B050C6"/>
    <w:rsid w:val="00B0521E"/>
    <w:rsid w:val="00B0540A"/>
    <w:rsid w:val="00B05483"/>
    <w:rsid w:val="00B0564C"/>
    <w:rsid w:val="00B059FC"/>
    <w:rsid w:val="00B0689F"/>
    <w:rsid w:val="00B068E7"/>
    <w:rsid w:val="00B06A25"/>
    <w:rsid w:val="00B10BB9"/>
    <w:rsid w:val="00B10C1E"/>
    <w:rsid w:val="00B10D11"/>
    <w:rsid w:val="00B1192B"/>
    <w:rsid w:val="00B12207"/>
    <w:rsid w:val="00B1224A"/>
    <w:rsid w:val="00B12641"/>
    <w:rsid w:val="00B130CF"/>
    <w:rsid w:val="00B139C7"/>
    <w:rsid w:val="00B13B44"/>
    <w:rsid w:val="00B141CE"/>
    <w:rsid w:val="00B145ED"/>
    <w:rsid w:val="00B15800"/>
    <w:rsid w:val="00B15A7E"/>
    <w:rsid w:val="00B15CCF"/>
    <w:rsid w:val="00B15E15"/>
    <w:rsid w:val="00B1650C"/>
    <w:rsid w:val="00B16614"/>
    <w:rsid w:val="00B16C97"/>
    <w:rsid w:val="00B172D9"/>
    <w:rsid w:val="00B176CF"/>
    <w:rsid w:val="00B17EE0"/>
    <w:rsid w:val="00B20282"/>
    <w:rsid w:val="00B2044D"/>
    <w:rsid w:val="00B204D8"/>
    <w:rsid w:val="00B205C2"/>
    <w:rsid w:val="00B20E77"/>
    <w:rsid w:val="00B2180E"/>
    <w:rsid w:val="00B2190C"/>
    <w:rsid w:val="00B2245D"/>
    <w:rsid w:val="00B225B7"/>
    <w:rsid w:val="00B22C46"/>
    <w:rsid w:val="00B23037"/>
    <w:rsid w:val="00B242B0"/>
    <w:rsid w:val="00B244D5"/>
    <w:rsid w:val="00B24D0A"/>
    <w:rsid w:val="00B25344"/>
    <w:rsid w:val="00B25982"/>
    <w:rsid w:val="00B26548"/>
    <w:rsid w:val="00B26B60"/>
    <w:rsid w:val="00B27AF9"/>
    <w:rsid w:val="00B27F2E"/>
    <w:rsid w:val="00B30504"/>
    <w:rsid w:val="00B30B33"/>
    <w:rsid w:val="00B3149A"/>
    <w:rsid w:val="00B319DF"/>
    <w:rsid w:val="00B31A42"/>
    <w:rsid w:val="00B3210C"/>
    <w:rsid w:val="00B33A54"/>
    <w:rsid w:val="00B34A9F"/>
    <w:rsid w:val="00B34FCE"/>
    <w:rsid w:val="00B35EDB"/>
    <w:rsid w:val="00B35F68"/>
    <w:rsid w:val="00B36C38"/>
    <w:rsid w:val="00B36EDA"/>
    <w:rsid w:val="00B374D7"/>
    <w:rsid w:val="00B37735"/>
    <w:rsid w:val="00B3775A"/>
    <w:rsid w:val="00B3779E"/>
    <w:rsid w:val="00B377F1"/>
    <w:rsid w:val="00B4034C"/>
    <w:rsid w:val="00B40AB0"/>
    <w:rsid w:val="00B40B94"/>
    <w:rsid w:val="00B421C0"/>
    <w:rsid w:val="00B42658"/>
    <w:rsid w:val="00B42762"/>
    <w:rsid w:val="00B42E38"/>
    <w:rsid w:val="00B43095"/>
    <w:rsid w:val="00B432E7"/>
    <w:rsid w:val="00B43E8A"/>
    <w:rsid w:val="00B43EDC"/>
    <w:rsid w:val="00B450AB"/>
    <w:rsid w:val="00B4551F"/>
    <w:rsid w:val="00B458DD"/>
    <w:rsid w:val="00B45922"/>
    <w:rsid w:val="00B45F87"/>
    <w:rsid w:val="00B46BA5"/>
    <w:rsid w:val="00B474BE"/>
    <w:rsid w:val="00B477B5"/>
    <w:rsid w:val="00B502E2"/>
    <w:rsid w:val="00B5071C"/>
    <w:rsid w:val="00B50D81"/>
    <w:rsid w:val="00B50DEB"/>
    <w:rsid w:val="00B510B3"/>
    <w:rsid w:val="00B51DFC"/>
    <w:rsid w:val="00B51FDB"/>
    <w:rsid w:val="00B52754"/>
    <w:rsid w:val="00B53C38"/>
    <w:rsid w:val="00B53ECC"/>
    <w:rsid w:val="00B540D6"/>
    <w:rsid w:val="00B54D40"/>
    <w:rsid w:val="00B54F42"/>
    <w:rsid w:val="00B55402"/>
    <w:rsid w:val="00B560B6"/>
    <w:rsid w:val="00B5650D"/>
    <w:rsid w:val="00B565F2"/>
    <w:rsid w:val="00B5771B"/>
    <w:rsid w:val="00B57A20"/>
    <w:rsid w:val="00B57CB4"/>
    <w:rsid w:val="00B57CEB"/>
    <w:rsid w:val="00B6029E"/>
    <w:rsid w:val="00B60ADD"/>
    <w:rsid w:val="00B6110B"/>
    <w:rsid w:val="00B61636"/>
    <w:rsid w:val="00B62CC9"/>
    <w:rsid w:val="00B62E20"/>
    <w:rsid w:val="00B632F6"/>
    <w:rsid w:val="00B6552E"/>
    <w:rsid w:val="00B65D4E"/>
    <w:rsid w:val="00B65F58"/>
    <w:rsid w:val="00B66126"/>
    <w:rsid w:val="00B66AAF"/>
    <w:rsid w:val="00B66CA9"/>
    <w:rsid w:val="00B6782E"/>
    <w:rsid w:val="00B6790D"/>
    <w:rsid w:val="00B67B48"/>
    <w:rsid w:val="00B67CB2"/>
    <w:rsid w:val="00B702D5"/>
    <w:rsid w:val="00B7087A"/>
    <w:rsid w:val="00B7107F"/>
    <w:rsid w:val="00B7151C"/>
    <w:rsid w:val="00B71B40"/>
    <w:rsid w:val="00B71F7C"/>
    <w:rsid w:val="00B7237B"/>
    <w:rsid w:val="00B727BD"/>
    <w:rsid w:val="00B72EFD"/>
    <w:rsid w:val="00B73681"/>
    <w:rsid w:val="00B73AED"/>
    <w:rsid w:val="00B73B9C"/>
    <w:rsid w:val="00B74BAC"/>
    <w:rsid w:val="00B7547E"/>
    <w:rsid w:val="00B75C3C"/>
    <w:rsid w:val="00B771CB"/>
    <w:rsid w:val="00B77E0F"/>
    <w:rsid w:val="00B77FB9"/>
    <w:rsid w:val="00B80600"/>
    <w:rsid w:val="00B81D08"/>
    <w:rsid w:val="00B83180"/>
    <w:rsid w:val="00B83282"/>
    <w:rsid w:val="00B83611"/>
    <w:rsid w:val="00B83A6E"/>
    <w:rsid w:val="00B83D14"/>
    <w:rsid w:val="00B83ED5"/>
    <w:rsid w:val="00B84932"/>
    <w:rsid w:val="00B84CBA"/>
    <w:rsid w:val="00B851DA"/>
    <w:rsid w:val="00B853D2"/>
    <w:rsid w:val="00B85821"/>
    <w:rsid w:val="00B85D32"/>
    <w:rsid w:val="00B86D40"/>
    <w:rsid w:val="00B870CD"/>
    <w:rsid w:val="00B9046C"/>
    <w:rsid w:val="00B90EEC"/>
    <w:rsid w:val="00B91C83"/>
    <w:rsid w:val="00B91D9D"/>
    <w:rsid w:val="00B91E81"/>
    <w:rsid w:val="00B922C6"/>
    <w:rsid w:val="00B92EA0"/>
    <w:rsid w:val="00B9324A"/>
    <w:rsid w:val="00B932DD"/>
    <w:rsid w:val="00B93425"/>
    <w:rsid w:val="00B93679"/>
    <w:rsid w:val="00B9369D"/>
    <w:rsid w:val="00B940A5"/>
    <w:rsid w:val="00B95576"/>
    <w:rsid w:val="00B95A25"/>
    <w:rsid w:val="00B95BC0"/>
    <w:rsid w:val="00B96572"/>
    <w:rsid w:val="00B9779C"/>
    <w:rsid w:val="00B97B3C"/>
    <w:rsid w:val="00BA011F"/>
    <w:rsid w:val="00BA01EA"/>
    <w:rsid w:val="00BA0836"/>
    <w:rsid w:val="00BA15E0"/>
    <w:rsid w:val="00BA1687"/>
    <w:rsid w:val="00BA217A"/>
    <w:rsid w:val="00BA300E"/>
    <w:rsid w:val="00BA3211"/>
    <w:rsid w:val="00BA3355"/>
    <w:rsid w:val="00BA3735"/>
    <w:rsid w:val="00BA3871"/>
    <w:rsid w:val="00BA3941"/>
    <w:rsid w:val="00BA4AB7"/>
    <w:rsid w:val="00BA4CF7"/>
    <w:rsid w:val="00BA557C"/>
    <w:rsid w:val="00BA5CFF"/>
    <w:rsid w:val="00BA6095"/>
    <w:rsid w:val="00BA6D42"/>
    <w:rsid w:val="00BA6D77"/>
    <w:rsid w:val="00BA71A6"/>
    <w:rsid w:val="00BB04CB"/>
    <w:rsid w:val="00BB0CE1"/>
    <w:rsid w:val="00BB15CF"/>
    <w:rsid w:val="00BB1E11"/>
    <w:rsid w:val="00BB2EAE"/>
    <w:rsid w:val="00BB353E"/>
    <w:rsid w:val="00BB36FF"/>
    <w:rsid w:val="00BB4A25"/>
    <w:rsid w:val="00BB5410"/>
    <w:rsid w:val="00BB6541"/>
    <w:rsid w:val="00BB68BD"/>
    <w:rsid w:val="00BB6C36"/>
    <w:rsid w:val="00BB745E"/>
    <w:rsid w:val="00BB7B4C"/>
    <w:rsid w:val="00BC08CC"/>
    <w:rsid w:val="00BC18EA"/>
    <w:rsid w:val="00BC2022"/>
    <w:rsid w:val="00BC20A4"/>
    <w:rsid w:val="00BC20DF"/>
    <w:rsid w:val="00BC28B5"/>
    <w:rsid w:val="00BC2BBC"/>
    <w:rsid w:val="00BC3AF6"/>
    <w:rsid w:val="00BC44FE"/>
    <w:rsid w:val="00BC523C"/>
    <w:rsid w:val="00BC5389"/>
    <w:rsid w:val="00BC53FF"/>
    <w:rsid w:val="00BC5482"/>
    <w:rsid w:val="00BC6323"/>
    <w:rsid w:val="00BC697A"/>
    <w:rsid w:val="00BC6EB8"/>
    <w:rsid w:val="00BC7252"/>
    <w:rsid w:val="00BC73CE"/>
    <w:rsid w:val="00BD06A6"/>
    <w:rsid w:val="00BD0785"/>
    <w:rsid w:val="00BD0F6E"/>
    <w:rsid w:val="00BD2FCF"/>
    <w:rsid w:val="00BD373A"/>
    <w:rsid w:val="00BD46D6"/>
    <w:rsid w:val="00BD475B"/>
    <w:rsid w:val="00BD490E"/>
    <w:rsid w:val="00BD529F"/>
    <w:rsid w:val="00BD6222"/>
    <w:rsid w:val="00BD6412"/>
    <w:rsid w:val="00BD64D3"/>
    <w:rsid w:val="00BD699F"/>
    <w:rsid w:val="00BD73DF"/>
    <w:rsid w:val="00BD7499"/>
    <w:rsid w:val="00BD749B"/>
    <w:rsid w:val="00BD7C45"/>
    <w:rsid w:val="00BE0904"/>
    <w:rsid w:val="00BE0DA6"/>
    <w:rsid w:val="00BE0DD1"/>
    <w:rsid w:val="00BE0E88"/>
    <w:rsid w:val="00BE0F54"/>
    <w:rsid w:val="00BE0F79"/>
    <w:rsid w:val="00BE154E"/>
    <w:rsid w:val="00BE2508"/>
    <w:rsid w:val="00BE2C5E"/>
    <w:rsid w:val="00BE3029"/>
    <w:rsid w:val="00BE313F"/>
    <w:rsid w:val="00BE32CA"/>
    <w:rsid w:val="00BE33DD"/>
    <w:rsid w:val="00BE340D"/>
    <w:rsid w:val="00BE36FB"/>
    <w:rsid w:val="00BE4125"/>
    <w:rsid w:val="00BE475D"/>
    <w:rsid w:val="00BE5144"/>
    <w:rsid w:val="00BE5E0E"/>
    <w:rsid w:val="00BE5E56"/>
    <w:rsid w:val="00BE6FE7"/>
    <w:rsid w:val="00BE753C"/>
    <w:rsid w:val="00BE7BB2"/>
    <w:rsid w:val="00BE7E54"/>
    <w:rsid w:val="00BF0ACF"/>
    <w:rsid w:val="00BF0F8F"/>
    <w:rsid w:val="00BF1217"/>
    <w:rsid w:val="00BF15BC"/>
    <w:rsid w:val="00BF162F"/>
    <w:rsid w:val="00BF1AEE"/>
    <w:rsid w:val="00BF1C1F"/>
    <w:rsid w:val="00BF1DB3"/>
    <w:rsid w:val="00BF2D54"/>
    <w:rsid w:val="00BF2F09"/>
    <w:rsid w:val="00BF3080"/>
    <w:rsid w:val="00BF4180"/>
    <w:rsid w:val="00BF464F"/>
    <w:rsid w:val="00BF47C7"/>
    <w:rsid w:val="00BF483C"/>
    <w:rsid w:val="00BF4B54"/>
    <w:rsid w:val="00BF5D4C"/>
    <w:rsid w:val="00BF5DAB"/>
    <w:rsid w:val="00BF6D8B"/>
    <w:rsid w:val="00BF6EA6"/>
    <w:rsid w:val="00BF70F1"/>
    <w:rsid w:val="00BF72EB"/>
    <w:rsid w:val="00BF7973"/>
    <w:rsid w:val="00BF7BB0"/>
    <w:rsid w:val="00C00084"/>
    <w:rsid w:val="00C00621"/>
    <w:rsid w:val="00C00B26"/>
    <w:rsid w:val="00C00E37"/>
    <w:rsid w:val="00C00E74"/>
    <w:rsid w:val="00C01202"/>
    <w:rsid w:val="00C012C8"/>
    <w:rsid w:val="00C012C9"/>
    <w:rsid w:val="00C01BE2"/>
    <w:rsid w:val="00C024F6"/>
    <w:rsid w:val="00C0375F"/>
    <w:rsid w:val="00C04554"/>
    <w:rsid w:val="00C05478"/>
    <w:rsid w:val="00C057BE"/>
    <w:rsid w:val="00C05B14"/>
    <w:rsid w:val="00C06147"/>
    <w:rsid w:val="00C0646A"/>
    <w:rsid w:val="00C0691B"/>
    <w:rsid w:val="00C07945"/>
    <w:rsid w:val="00C079E0"/>
    <w:rsid w:val="00C10259"/>
    <w:rsid w:val="00C10E4A"/>
    <w:rsid w:val="00C1124B"/>
    <w:rsid w:val="00C1140A"/>
    <w:rsid w:val="00C1195B"/>
    <w:rsid w:val="00C122DA"/>
    <w:rsid w:val="00C1234F"/>
    <w:rsid w:val="00C12BA8"/>
    <w:rsid w:val="00C132BC"/>
    <w:rsid w:val="00C14049"/>
    <w:rsid w:val="00C14FB7"/>
    <w:rsid w:val="00C15170"/>
    <w:rsid w:val="00C15942"/>
    <w:rsid w:val="00C15F39"/>
    <w:rsid w:val="00C1605F"/>
    <w:rsid w:val="00C16A99"/>
    <w:rsid w:val="00C16DED"/>
    <w:rsid w:val="00C17027"/>
    <w:rsid w:val="00C174F0"/>
    <w:rsid w:val="00C178F3"/>
    <w:rsid w:val="00C17C38"/>
    <w:rsid w:val="00C21349"/>
    <w:rsid w:val="00C216C3"/>
    <w:rsid w:val="00C21C1D"/>
    <w:rsid w:val="00C21FF5"/>
    <w:rsid w:val="00C221C6"/>
    <w:rsid w:val="00C22294"/>
    <w:rsid w:val="00C22611"/>
    <w:rsid w:val="00C22D6B"/>
    <w:rsid w:val="00C23020"/>
    <w:rsid w:val="00C23CBC"/>
    <w:rsid w:val="00C245ED"/>
    <w:rsid w:val="00C24A58"/>
    <w:rsid w:val="00C259C7"/>
    <w:rsid w:val="00C25ED4"/>
    <w:rsid w:val="00C2752B"/>
    <w:rsid w:val="00C27859"/>
    <w:rsid w:val="00C27B61"/>
    <w:rsid w:val="00C30093"/>
    <w:rsid w:val="00C302B0"/>
    <w:rsid w:val="00C3067D"/>
    <w:rsid w:val="00C3089F"/>
    <w:rsid w:val="00C30D04"/>
    <w:rsid w:val="00C31110"/>
    <w:rsid w:val="00C311E5"/>
    <w:rsid w:val="00C31DCA"/>
    <w:rsid w:val="00C32D38"/>
    <w:rsid w:val="00C32FCE"/>
    <w:rsid w:val="00C330E8"/>
    <w:rsid w:val="00C33874"/>
    <w:rsid w:val="00C33FB5"/>
    <w:rsid w:val="00C344AC"/>
    <w:rsid w:val="00C34C0B"/>
    <w:rsid w:val="00C35001"/>
    <w:rsid w:val="00C35ED4"/>
    <w:rsid w:val="00C3634E"/>
    <w:rsid w:val="00C36E8B"/>
    <w:rsid w:val="00C36EAF"/>
    <w:rsid w:val="00C370EC"/>
    <w:rsid w:val="00C373E5"/>
    <w:rsid w:val="00C37854"/>
    <w:rsid w:val="00C37D84"/>
    <w:rsid w:val="00C40487"/>
    <w:rsid w:val="00C40D16"/>
    <w:rsid w:val="00C41ACC"/>
    <w:rsid w:val="00C41B8A"/>
    <w:rsid w:val="00C41EC0"/>
    <w:rsid w:val="00C427AE"/>
    <w:rsid w:val="00C4350C"/>
    <w:rsid w:val="00C43D67"/>
    <w:rsid w:val="00C43FCE"/>
    <w:rsid w:val="00C44993"/>
    <w:rsid w:val="00C4658C"/>
    <w:rsid w:val="00C47030"/>
    <w:rsid w:val="00C471A9"/>
    <w:rsid w:val="00C47589"/>
    <w:rsid w:val="00C47F96"/>
    <w:rsid w:val="00C500C0"/>
    <w:rsid w:val="00C508C7"/>
    <w:rsid w:val="00C50B69"/>
    <w:rsid w:val="00C50F18"/>
    <w:rsid w:val="00C522A5"/>
    <w:rsid w:val="00C52CA7"/>
    <w:rsid w:val="00C52FDD"/>
    <w:rsid w:val="00C53053"/>
    <w:rsid w:val="00C53D84"/>
    <w:rsid w:val="00C53ECD"/>
    <w:rsid w:val="00C540CC"/>
    <w:rsid w:val="00C54129"/>
    <w:rsid w:val="00C544E8"/>
    <w:rsid w:val="00C54BD0"/>
    <w:rsid w:val="00C551EF"/>
    <w:rsid w:val="00C55AA1"/>
    <w:rsid w:val="00C5617F"/>
    <w:rsid w:val="00C568C1"/>
    <w:rsid w:val="00C56B13"/>
    <w:rsid w:val="00C56E61"/>
    <w:rsid w:val="00C56FFD"/>
    <w:rsid w:val="00C573A6"/>
    <w:rsid w:val="00C57DA4"/>
    <w:rsid w:val="00C60D27"/>
    <w:rsid w:val="00C6155A"/>
    <w:rsid w:val="00C61F7C"/>
    <w:rsid w:val="00C61FE8"/>
    <w:rsid w:val="00C622BE"/>
    <w:rsid w:val="00C625B6"/>
    <w:rsid w:val="00C627BF"/>
    <w:rsid w:val="00C62ABE"/>
    <w:rsid w:val="00C62B2F"/>
    <w:rsid w:val="00C62CC5"/>
    <w:rsid w:val="00C630E4"/>
    <w:rsid w:val="00C64246"/>
    <w:rsid w:val="00C64A81"/>
    <w:rsid w:val="00C64A9C"/>
    <w:rsid w:val="00C64F84"/>
    <w:rsid w:val="00C651BC"/>
    <w:rsid w:val="00C65632"/>
    <w:rsid w:val="00C662D5"/>
    <w:rsid w:val="00C66362"/>
    <w:rsid w:val="00C666AA"/>
    <w:rsid w:val="00C66BA2"/>
    <w:rsid w:val="00C66E64"/>
    <w:rsid w:val="00C674AA"/>
    <w:rsid w:val="00C67A46"/>
    <w:rsid w:val="00C67E97"/>
    <w:rsid w:val="00C70B3C"/>
    <w:rsid w:val="00C70D27"/>
    <w:rsid w:val="00C71FFE"/>
    <w:rsid w:val="00C7240F"/>
    <w:rsid w:val="00C7249A"/>
    <w:rsid w:val="00C72A48"/>
    <w:rsid w:val="00C72E53"/>
    <w:rsid w:val="00C73034"/>
    <w:rsid w:val="00C738D2"/>
    <w:rsid w:val="00C740A1"/>
    <w:rsid w:val="00C74EC0"/>
    <w:rsid w:val="00C754BC"/>
    <w:rsid w:val="00C75BD3"/>
    <w:rsid w:val="00C75FCF"/>
    <w:rsid w:val="00C760CE"/>
    <w:rsid w:val="00C760E7"/>
    <w:rsid w:val="00C76DC6"/>
    <w:rsid w:val="00C7707A"/>
    <w:rsid w:val="00C77284"/>
    <w:rsid w:val="00C779BF"/>
    <w:rsid w:val="00C77EC8"/>
    <w:rsid w:val="00C800B1"/>
    <w:rsid w:val="00C8013C"/>
    <w:rsid w:val="00C8088A"/>
    <w:rsid w:val="00C8099F"/>
    <w:rsid w:val="00C80D46"/>
    <w:rsid w:val="00C80F79"/>
    <w:rsid w:val="00C80FD7"/>
    <w:rsid w:val="00C81196"/>
    <w:rsid w:val="00C822E8"/>
    <w:rsid w:val="00C829C8"/>
    <w:rsid w:val="00C82E18"/>
    <w:rsid w:val="00C82F4C"/>
    <w:rsid w:val="00C83774"/>
    <w:rsid w:val="00C838B4"/>
    <w:rsid w:val="00C84081"/>
    <w:rsid w:val="00C85295"/>
    <w:rsid w:val="00C856A4"/>
    <w:rsid w:val="00C85905"/>
    <w:rsid w:val="00C85958"/>
    <w:rsid w:val="00C85ADB"/>
    <w:rsid w:val="00C86629"/>
    <w:rsid w:val="00C86851"/>
    <w:rsid w:val="00C86CF8"/>
    <w:rsid w:val="00C87075"/>
    <w:rsid w:val="00C87F54"/>
    <w:rsid w:val="00C9079F"/>
    <w:rsid w:val="00C90D82"/>
    <w:rsid w:val="00C9148C"/>
    <w:rsid w:val="00C91E34"/>
    <w:rsid w:val="00C9200F"/>
    <w:rsid w:val="00C92134"/>
    <w:rsid w:val="00C92362"/>
    <w:rsid w:val="00C92655"/>
    <w:rsid w:val="00C92ACE"/>
    <w:rsid w:val="00C92B30"/>
    <w:rsid w:val="00C92D91"/>
    <w:rsid w:val="00C92DB0"/>
    <w:rsid w:val="00C92F05"/>
    <w:rsid w:val="00C937DA"/>
    <w:rsid w:val="00C93B90"/>
    <w:rsid w:val="00C944EA"/>
    <w:rsid w:val="00C946DB"/>
    <w:rsid w:val="00C947A5"/>
    <w:rsid w:val="00C9517D"/>
    <w:rsid w:val="00C95E21"/>
    <w:rsid w:val="00C96D81"/>
    <w:rsid w:val="00C97091"/>
    <w:rsid w:val="00C979F6"/>
    <w:rsid w:val="00CA085C"/>
    <w:rsid w:val="00CA0F2F"/>
    <w:rsid w:val="00CA10CC"/>
    <w:rsid w:val="00CA12F6"/>
    <w:rsid w:val="00CA158C"/>
    <w:rsid w:val="00CA1AED"/>
    <w:rsid w:val="00CA1CDE"/>
    <w:rsid w:val="00CA209C"/>
    <w:rsid w:val="00CA20EA"/>
    <w:rsid w:val="00CA226F"/>
    <w:rsid w:val="00CA2A8E"/>
    <w:rsid w:val="00CA2BDE"/>
    <w:rsid w:val="00CA2C8A"/>
    <w:rsid w:val="00CA2D47"/>
    <w:rsid w:val="00CA31D1"/>
    <w:rsid w:val="00CA4907"/>
    <w:rsid w:val="00CA4E74"/>
    <w:rsid w:val="00CA5041"/>
    <w:rsid w:val="00CA53DD"/>
    <w:rsid w:val="00CA5655"/>
    <w:rsid w:val="00CA595B"/>
    <w:rsid w:val="00CA5ECF"/>
    <w:rsid w:val="00CA634E"/>
    <w:rsid w:val="00CA6DAD"/>
    <w:rsid w:val="00CA751E"/>
    <w:rsid w:val="00CA7A9A"/>
    <w:rsid w:val="00CB0292"/>
    <w:rsid w:val="00CB03D5"/>
    <w:rsid w:val="00CB0900"/>
    <w:rsid w:val="00CB1350"/>
    <w:rsid w:val="00CB272B"/>
    <w:rsid w:val="00CB29FA"/>
    <w:rsid w:val="00CB2C06"/>
    <w:rsid w:val="00CB309E"/>
    <w:rsid w:val="00CB30EB"/>
    <w:rsid w:val="00CB3138"/>
    <w:rsid w:val="00CB42B6"/>
    <w:rsid w:val="00CB4809"/>
    <w:rsid w:val="00CB4A9D"/>
    <w:rsid w:val="00CB5442"/>
    <w:rsid w:val="00CB5528"/>
    <w:rsid w:val="00CB553F"/>
    <w:rsid w:val="00CB571C"/>
    <w:rsid w:val="00CB72A8"/>
    <w:rsid w:val="00CB75BD"/>
    <w:rsid w:val="00CC0D45"/>
    <w:rsid w:val="00CC14B7"/>
    <w:rsid w:val="00CC2664"/>
    <w:rsid w:val="00CC33A2"/>
    <w:rsid w:val="00CC4132"/>
    <w:rsid w:val="00CC4FBF"/>
    <w:rsid w:val="00CC5596"/>
    <w:rsid w:val="00CC67AE"/>
    <w:rsid w:val="00CD0529"/>
    <w:rsid w:val="00CD0925"/>
    <w:rsid w:val="00CD19FD"/>
    <w:rsid w:val="00CD1ECF"/>
    <w:rsid w:val="00CD32DC"/>
    <w:rsid w:val="00CD35A8"/>
    <w:rsid w:val="00CD3B3F"/>
    <w:rsid w:val="00CD3F0A"/>
    <w:rsid w:val="00CD5D40"/>
    <w:rsid w:val="00CD5E23"/>
    <w:rsid w:val="00CD60F2"/>
    <w:rsid w:val="00CD65A5"/>
    <w:rsid w:val="00CD660E"/>
    <w:rsid w:val="00CD68D8"/>
    <w:rsid w:val="00CD6C01"/>
    <w:rsid w:val="00CD73C9"/>
    <w:rsid w:val="00CD73E3"/>
    <w:rsid w:val="00CD7B08"/>
    <w:rsid w:val="00CE01AB"/>
    <w:rsid w:val="00CE08BE"/>
    <w:rsid w:val="00CE11E0"/>
    <w:rsid w:val="00CE2105"/>
    <w:rsid w:val="00CE27ED"/>
    <w:rsid w:val="00CE2A2C"/>
    <w:rsid w:val="00CE35D3"/>
    <w:rsid w:val="00CE3730"/>
    <w:rsid w:val="00CE38AE"/>
    <w:rsid w:val="00CE3B97"/>
    <w:rsid w:val="00CE3BA7"/>
    <w:rsid w:val="00CE402F"/>
    <w:rsid w:val="00CE48EC"/>
    <w:rsid w:val="00CE4908"/>
    <w:rsid w:val="00CE5112"/>
    <w:rsid w:val="00CE570F"/>
    <w:rsid w:val="00CE5C68"/>
    <w:rsid w:val="00CE604E"/>
    <w:rsid w:val="00CE618E"/>
    <w:rsid w:val="00CE6563"/>
    <w:rsid w:val="00CE68A3"/>
    <w:rsid w:val="00CE750A"/>
    <w:rsid w:val="00CF0C29"/>
    <w:rsid w:val="00CF2347"/>
    <w:rsid w:val="00CF2E77"/>
    <w:rsid w:val="00CF37BE"/>
    <w:rsid w:val="00CF3818"/>
    <w:rsid w:val="00CF386C"/>
    <w:rsid w:val="00CF38F1"/>
    <w:rsid w:val="00CF3D89"/>
    <w:rsid w:val="00CF412B"/>
    <w:rsid w:val="00CF48A1"/>
    <w:rsid w:val="00CF492F"/>
    <w:rsid w:val="00CF4978"/>
    <w:rsid w:val="00CF4BA4"/>
    <w:rsid w:val="00CF4F08"/>
    <w:rsid w:val="00CF5A83"/>
    <w:rsid w:val="00CF5C80"/>
    <w:rsid w:val="00CF5E90"/>
    <w:rsid w:val="00CF5F2E"/>
    <w:rsid w:val="00CF5F5A"/>
    <w:rsid w:val="00CF61DD"/>
    <w:rsid w:val="00CF63F1"/>
    <w:rsid w:val="00CF7754"/>
    <w:rsid w:val="00CF7853"/>
    <w:rsid w:val="00CF78C3"/>
    <w:rsid w:val="00CF7FE4"/>
    <w:rsid w:val="00D0083D"/>
    <w:rsid w:val="00D00B5B"/>
    <w:rsid w:val="00D00B87"/>
    <w:rsid w:val="00D010A9"/>
    <w:rsid w:val="00D0145B"/>
    <w:rsid w:val="00D01BA4"/>
    <w:rsid w:val="00D01BFA"/>
    <w:rsid w:val="00D01EE8"/>
    <w:rsid w:val="00D024DD"/>
    <w:rsid w:val="00D02A7E"/>
    <w:rsid w:val="00D031CE"/>
    <w:rsid w:val="00D032A8"/>
    <w:rsid w:val="00D03570"/>
    <w:rsid w:val="00D038BD"/>
    <w:rsid w:val="00D03A08"/>
    <w:rsid w:val="00D03FAA"/>
    <w:rsid w:val="00D04E9F"/>
    <w:rsid w:val="00D059F9"/>
    <w:rsid w:val="00D05A1F"/>
    <w:rsid w:val="00D05DB3"/>
    <w:rsid w:val="00D07282"/>
    <w:rsid w:val="00D0747E"/>
    <w:rsid w:val="00D07A06"/>
    <w:rsid w:val="00D07B79"/>
    <w:rsid w:val="00D07F87"/>
    <w:rsid w:val="00D100FF"/>
    <w:rsid w:val="00D10306"/>
    <w:rsid w:val="00D10642"/>
    <w:rsid w:val="00D10F99"/>
    <w:rsid w:val="00D118BB"/>
    <w:rsid w:val="00D11B22"/>
    <w:rsid w:val="00D123B5"/>
    <w:rsid w:val="00D12B39"/>
    <w:rsid w:val="00D12BA6"/>
    <w:rsid w:val="00D138C2"/>
    <w:rsid w:val="00D13C12"/>
    <w:rsid w:val="00D13E35"/>
    <w:rsid w:val="00D14393"/>
    <w:rsid w:val="00D14619"/>
    <w:rsid w:val="00D1511E"/>
    <w:rsid w:val="00D1582D"/>
    <w:rsid w:val="00D15EF5"/>
    <w:rsid w:val="00D16751"/>
    <w:rsid w:val="00D1712D"/>
    <w:rsid w:val="00D17896"/>
    <w:rsid w:val="00D17CD2"/>
    <w:rsid w:val="00D17D13"/>
    <w:rsid w:val="00D208BD"/>
    <w:rsid w:val="00D21604"/>
    <w:rsid w:val="00D21872"/>
    <w:rsid w:val="00D21E6B"/>
    <w:rsid w:val="00D22F31"/>
    <w:rsid w:val="00D22FED"/>
    <w:rsid w:val="00D23477"/>
    <w:rsid w:val="00D239E3"/>
    <w:rsid w:val="00D240A9"/>
    <w:rsid w:val="00D246ED"/>
    <w:rsid w:val="00D24F1F"/>
    <w:rsid w:val="00D25352"/>
    <w:rsid w:val="00D25F2A"/>
    <w:rsid w:val="00D2677E"/>
    <w:rsid w:val="00D277D0"/>
    <w:rsid w:val="00D27FCF"/>
    <w:rsid w:val="00D30130"/>
    <w:rsid w:val="00D308CB"/>
    <w:rsid w:val="00D315DB"/>
    <w:rsid w:val="00D318A4"/>
    <w:rsid w:val="00D31BF4"/>
    <w:rsid w:val="00D32238"/>
    <w:rsid w:val="00D3266F"/>
    <w:rsid w:val="00D3424C"/>
    <w:rsid w:val="00D34490"/>
    <w:rsid w:val="00D345BD"/>
    <w:rsid w:val="00D34C08"/>
    <w:rsid w:val="00D34DB7"/>
    <w:rsid w:val="00D360D9"/>
    <w:rsid w:val="00D36C1A"/>
    <w:rsid w:val="00D36E1D"/>
    <w:rsid w:val="00D375CA"/>
    <w:rsid w:val="00D37A53"/>
    <w:rsid w:val="00D37CFD"/>
    <w:rsid w:val="00D37F45"/>
    <w:rsid w:val="00D40148"/>
    <w:rsid w:val="00D40522"/>
    <w:rsid w:val="00D40FD0"/>
    <w:rsid w:val="00D41AAA"/>
    <w:rsid w:val="00D42779"/>
    <w:rsid w:val="00D42E9C"/>
    <w:rsid w:val="00D4302B"/>
    <w:rsid w:val="00D4468B"/>
    <w:rsid w:val="00D446F9"/>
    <w:rsid w:val="00D44977"/>
    <w:rsid w:val="00D456FA"/>
    <w:rsid w:val="00D458D5"/>
    <w:rsid w:val="00D45AFD"/>
    <w:rsid w:val="00D462ED"/>
    <w:rsid w:val="00D466A9"/>
    <w:rsid w:val="00D4682B"/>
    <w:rsid w:val="00D46D7B"/>
    <w:rsid w:val="00D47120"/>
    <w:rsid w:val="00D47373"/>
    <w:rsid w:val="00D476D0"/>
    <w:rsid w:val="00D47AE6"/>
    <w:rsid w:val="00D50209"/>
    <w:rsid w:val="00D502CC"/>
    <w:rsid w:val="00D5099D"/>
    <w:rsid w:val="00D51071"/>
    <w:rsid w:val="00D51D1C"/>
    <w:rsid w:val="00D53973"/>
    <w:rsid w:val="00D53B59"/>
    <w:rsid w:val="00D53D40"/>
    <w:rsid w:val="00D54095"/>
    <w:rsid w:val="00D540CB"/>
    <w:rsid w:val="00D5460E"/>
    <w:rsid w:val="00D54713"/>
    <w:rsid w:val="00D55CFF"/>
    <w:rsid w:val="00D56354"/>
    <w:rsid w:val="00D56433"/>
    <w:rsid w:val="00D571D2"/>
    <w:rsid w:val="00D604C0"/>
    <w:rsid w:val="00D60C9A"/>
    <w:rsid w:val="00D6167D"/>
    <w:rsid w:val="00D61B2A"/>
    <w:rsid w:val="00D61E15"/>
    <w:rsid w:val="00D632EE"/>
    <w:rsid w:val="00D634CC"/>
    <w:rsid w:val="00D6473F"/>
    <w:rsid w:val="00D64A4A"/>
    <w:rsid w:val="00D65912"/>
    <w:rsid w:val="00D65AA8"/>
    <w:rsid w:val="00D65C41"/>
    <w:rsid w:val="00D666BC"/>
    <w:rsid w:val="00D6677E"/>
    <w:rsid w:val="00D66C9C"/>
    <w:rsid w:val="00D66F19"/>
    <w:rsid w:val="00D670F6"/>
    <w:rsid w:val="00D67AF4"/>
    <w:rsid w:val="00D67DF7"/>
    <w:rsid w:val="00D70016"/>
    <w:rsid w:val="00D71FD6"/>
    <w:rsid w:val="00D7217A"/>
    <w:rsid w:val="00D724E1"/>
    <w:rsid w:val="00D7275C"/>
    <w:rsid w:val="00D72B37"/>
    <w:rsid w:val="00D72B88"/>
    <w:rsid w:val="00D73193"/>
    <w:rsid w:val="00D74837"/>
    <w:rsid w:val="00D7538E"/>
    <w:rsid w:val="00D75442"/>
    <w:rsid w:val="00D75497"/>
    <w:rsid w:val="00D754C3"/>
    <w:rsid w:val="00D763ED"/>
    <w:rsid w:val="00D76564"/>
    <w:rsid w:val="00D766C7"/>
    <w:rsid w:val="00D77889"/>
    <w:rsid w:val="00D77AA9"/>
    <w:rsid w:val="00D80164"/>
    <w:rsid w:val="00D81B32"/>
    <w:rsid w:val="00D81CB5"/>
    <w:rsid w:val="00D81E3D"/>
    <w:rsid w:val="00D82A6E"/>
    <w:rsid w:val="00D82BC7"/>
    <w:rsid w:val="00D830C8"/>
    <w:rsid w:val="00D84B96"/>
    <w:rsid w:val="00D85F3B"/>
    <w:rsid w:val="00D86153"/>
    <w:rsid w:val="00D86B3D"/>
    <w:rsid w:val="00D86C9A"/>
    <w:rsid w:val="00D87B12"/>
    <w:rsid w:val="00D90579"/>
    <w:rsid w:val="00D90836"/>
    <w:rsid w:val="00D90A94"/>
    <w:rsid w:val="00D910D9"/>
    <w:rsid w:val="00D91156"/>
    <w:rsid w:val="00D91396"/>
    <w:rsid w:val="00D91C3D"/>
    <w:rsid w:val="00D91C9C"/>
    <w:rsid w:val="00D921DC"/>
    <w:rsid w:val="00D923BB"/>
    <w:rsid w:val="00D9277E"/>
    <w:rsid w:val="00D92A36"/>
    <w:rsid w:val="00D92BB9"/>
    <w:rsid w:val="00D93129"/>
    <w:rsid w:val="00D9381D"/>
    <w:rsid w:val="00D943FF"/>
    <w:rsid w:val="00D9665E"/>
    <w:rsid w:val="00D9676D"/>
    <w:rsid w:val="00D972B2"/>
    <w:rsid w:val="00D97B94"/>
    <w:rsid w:val="00D97C22"/>
    <w:rsid w:val="00D97E48"/>
    <w:rsid w:val="00DA0755"/>
    <w:rsid w:val="00DA1467"/>
    <w:rsid w:val="00DA16CF"/>
    <w:rsid w:val="00DA1C4D"/>
    <w:rsid w:val="00DA1CC9"/>
    <w:rsid w:val="00DA2066"/>
    <w:rsid w:val="00DA2DD2"/>
    <w:rsid w:val="00DA2DEF"/>
    <w:rsid w:val="00DA2E99"/>
    <w:rsid w:val="00DA3596"/>
    <w:rsid w:val="00DA3E9F"/>
    <w:rsid w:val="00DA429E"/>
    <w:rsid w:val="00DA44A8"/>
    <w:rsid w:val="00DA4709"/>
    <w:rsid w:val="00DA4CC6"/>
    <w:rsid w:val="00DA4E85"/>
    <w:rsid w:val="00DA4EE2"/>
    <w:rsid w:val="00DA50A1"/>
    <w:rsid w:val="00DA5829"/>
    <w:rsid w:val="00DA5B07"/>
    <w:rsid w:val="00DA66A0"/>
    <w:rsid w:val="00DA66D4"/>
    <w:rsid w:val="00DA6957"/>
    <w:rsid w:val="00DA6BC3"/>
    <w:rsid w:val="00DA70D1"/>
    <w:rsid w:val="00DA77AF"/>
    <w:rsid w:val="00DB000E"/>
    <w:rsid w:val="00DB0645"/>
    <w:rsid w:val="00DB10F2"/>
    <w:rsid w:val="00DB19AD"/>
    <w:rsid w:val="00DB1EC6"/>
    <w:rsid w:val="00DB26DB"/>
    <w:rsid w:val="00DB2906"/>
    <w:rsid w:val="00DB2EF1"/>
    <w:rsid w:val="00DB34E3"/>
    <w:rsid w:val="00DB3871"/>
    <w:rsid w:val="00DB440D"/>
    <w:rsid w:val="00DB49C8"/>
    <w:rsid w:val="00DB4DCF"/>
    <w:rsid w:val="00DB59D9"/>
    <w:rsid w:val="00DB5A74"/>
    <w:rsid w:val="00DB63E1"/>
    <w:rsid w:val="00DB6FE7"/>
    <w:rsid w:val="00DB7238"/>
    <w:rsid w:val="00DB7918"/>
    <w:rsid w:val="00DB79D6"/>
    <w:rsid w:val="00DB7C42"/>
    <w:rsid w:val="00DB7FC5"/>
    <w:rsid w:val="00DC072C"/>
    <w:rsid w:val="00DC18F8"/>
    <w:rsid w:val="00DC1989"/>
    <w:rsid w:val="00DC2069"/>
    <w:rsid w:val="00DC2F28"/>
    <w:rsid w:val="00DC2F4C"/>
    <w:rsid w:val="00DC342A"/>
    <w:rsid w:val="00DC3514"/>
    <w:rsid w:val="00DC4F3B"/>
    <w:rsid w:val="00DC5411"/>
    <w:rsid w:val="00DC561D"/>
    <w:rsid w:val="00DC582C"/>
    <w:rsid w:val="00DC66D1"/>
    <w:rsid w:val="00DD096E"/>
    <w:rsid w:val="00DD1BB5"/>
    <w:rsid w:val="00DD1D96"/>
    <w:rsid w:val="00DD20B2"/>
    <w:rsid w:val="00DD2826"/>
    <w:rsid w:val="00DD38E3"/>
    <w:rsid w:val="00DD3B6B"/>
    <w:rsid w:val="00DD3E30"/>
    <w:rsid w:val="00DD4AF9"/>
    <w:rsid w:val="00DD4CCF"/>
    <w:rsid w:val="00DD52F7"/>
    <w:rsid w:val="00DD5D4B"/>
    <w:rsid w:val="00DD645E"/>
    <w:rsid w:val="00DD6801"/>
    <w:rsid w:val="00DD6E76"/>
    <w:rsid w:val="00DD7427"/>
    <w:rsid w:val="00DD78E1"/>
    <w:rsid w:val="00DE0370"/>
    <w:rsid w:val="00DE09F6"/>
    <w:rsid w:val="00DE1235"/>
    <w:rsid w:val="00DE1A08"/>
    <w:rsid w:val="00DE1A64"/>
    <w:rsid w:val="00DE243F"/>
    <w:rsid w:val="00DE2881"/>
    <w:rsid w:val="00DE2A5E"/>
    <w:rsid w:val="00DE2DE1"/>
    <w:rsid w:val="00DE3B11"/>
    <w:rsid w:val="00DE3E3C"/>
    <w:rsid w:val="00DE447F"/>
    <w:rsid w:val="00DE483E"/>
    <w:rsid w:val="00DE4D66"/>
    <w:rsid w:val="00DE5855"/>
    <w:rsid w:val="00DE5D63"/>
    <w:rsid w:val="00DE5E8B"/>
    <w:rsid w:val="00DE5F81"/>
    <w:rsid w:val="00DE642D"/>
    <w:rsid w:val="00DE678C"/>
    <w:rsid w:val="00DE703A"/>
    <w:rsid w:val="00DE7040"/>
    <w:rsid w:val="00DE7C9D"/>
    <w:rsid w:val="00DE7F4A"/>
    <w:rsid w:val="00DE7FE2"/>
    <w:rsid w:val="00DF066C"/>
    <w:rsid w:val="00DF07DF"/>
    <w:rsid w:val="00DF0965"/>
    <w:rsid w:val="00DF0B65"/>
    <w:rsid w:val="00DF168F"/>
    <w:rsid w:val="00DF2565"/>
    <w:rsid w:val="00DF4B0D"/>
    <w:rsid w:val="00DF58A2"/>
    <w:rsid w:val="00DF5D87"/>
    <w:rsid w:val="00DF6A2E"/>
    <w:rsid w:val="00DF73B8"/>
    <w:rsid w:val="00E01383"/>
    <w:rsid w:val="00E01504"/>
    <w:rsid w:val="00E01C07"/>
    <w:rsid w:val="00E022BC"/>
    <w:rsid w:val="00E02672"/>
    <w:rsid w:val="00E027E9"/>
    <w:rsid w:val="00E03097"/>
    <w:rsid w:val="00E03DEE"/>
    <w:rsid w:val="00E05473"/>
    <w:rsid w:val="00E05518"/>
    <w:rsid w:val="00E05A88"/>
    <w:rsid w:val="00E060D4"/>
    <w:rsid w:val="00E07226"/>
    <w:rsid w:val="00E07316"/>
    <w:rsid w:val="00E07672"/>
    <w:rsid w:val="00E07EA0"/>
    <w:rsid w:val="00E103ED"/>
    <w:rsid w:val="00E10845"/>
    <w:rsid w:val="00E10A4D"/>
    <w:rsid w:val="00E10D07"/>
    <w:rsid w:val="00E10DD3"/>
    <w:rsid w:val="00E11778"/>
    <w:rsid w:val="00E11B92"/>
    <w:rsid w:val="00E11DEB"/>
    <w:rsid w:val="00E12881"/>
    <w:rsid w:val="00E1315B"/>
    <w:rsid w:val="00E1324C"/>
    <w:rsid w:val="00E137C7"/>
    <w:rsid w:val="00E13B6C"/>
    <w:rsid w:val="00E13EBA"/>
    <w:rsid w:val="00E165D0"/>
    <w:rsid w:val="00E16C1E"/>
    <w:rsid w:val="00E17140"/>
    <w:rsid w:val="00E1752D"/>
    <w:rsid w:val="00E17616"/>
    <w:rsid w:val="00E17D85"/>
    <w:rsid w:val="00E20BDC"/>
    <w:rsid w:val="00E21574"/>
    <w:rsid w:val="00E21F9A"/>
    <w:rsid w:val="00E22033"/>
    <w:rsid w:val="00E22564"/>
    <w:rsid w:val="00E22C8B"/>
    <w:rsid w:val="00E2305C"/>
    <w:rsid w:val="00E23956"/>
    <w:rsid w:val="00E23BC6"/>
    <w:rsid w:val="00E23E9C"/>
    <w:rsid w:val="00E24AD1"/>
    <w:rsid w:val="00E250A1"/>
    <w:rsid w:val="00E26897"/>
    <w:rsid w:val="00E27309"/>
    <w:rsid w:val="00E273C9"/>
    <w:rsid w:val="00E313DA"/>
    <w:rsid w:val="00E31630"/>
    <w:rsid w:val="00E3270B"/>
    <w:rsid w:val="00E3299E"/>
    <w:rsid w:val="00E338D6"/>
    <w:rsid w:val="00E33A29"/>
    <w:rsid w:val="00E34946"/>
    <w:rsid w:val="00E34B77"/>
    <w:rsid w:val="00E3575F"/>
    <w:rsid w:val="00E35785"/>
    <w:rsid w:val="00E35C07"/>
    <w:rsid w:val="00E36248"/>
    <w:rsid w:val="00E365B5"/>
    <w:rsid w:val="00E370E1"/>
    <w:rsid w:val="00E375D1"/>
    <w:rsid w:val="00E376AA"/>
    <w:rsid w:val="00E37921"/>
    <w:rsid w:val="00E402F5"/>
    <w:rsid w:val="00E403C7"/>
    <w:rsid w:val="00E40671"/>
    <w:rsid w:val="00E41113"/>
    <w:rsid w:val="00E411AE"/>
    <w:rsid w:val="00E417D2"/>
    <w:rsid w:val="00E418A3"/>
    <w:rsid w:val="00E41923"/>
    <w:rsid w:val="00E41F99"/>
    <w:rsid w:val="00E42BEA"/>
    <w:rsid w:val="00E42DC6"/>
    <w:rsid w:val="00E43BCA"/>
    <w:rsid w:val="00E44C7B"/>
    <w:rsid w:val="00E452AD"/>
    <w:rsid w:val="00E4577A"/>
    <w:rsid w:val="00E4697B"/>
    <w:rsid w:val="00E46A89"/>
    <w:rsid w:val="00E47683"/>
    <w:rsid w:val="00E5054A"/>
    <w:rsid w:val="00E505C4"/>
    <w:rsid w:val="00E507BA"/>
    <w:rsid w:val="00E50C03"/>
    <w:rsid w:val="00E51D20"/>
    <w:rsid w:val="00E51DE1"/>
    <w:rsid w:val="00E52151"/>
    <w:rsid w:val="00E525D4"/>
    <w:rsid w:val="00E5321F"/>
    <w:rsid w:val="00E53A8C"/>
    <w:rsid w:val="00E54604"/>
    <w:rsid w:val="00E54E3B"/>
    <w:rsid w:val="00E54E79"/>
    <w:rsid w:val="00E55112"/>
    <w:rsid w:val="00E55E3E"/>
    <w:rsid w:val="00E56320"/>
    <w:rsid w:val="00E56348"/>
    <w:rsid w:val="00E57428"/>
    <w:rsid w:val="00E5745B"/>
    <w:rsid w:val="00E6062E"/>
    <w:rsid w:val="00E60B2C"/>
    <w:rsid w:val="00E60F50"/>
    <w:rsid w:val="00E6170E"/>
    <w:rsid w:val="00E62335"/>
    <w:rsid w:val="00E62A9C"/>
    <w:rsid w:val="00E6457E"/>
    <w:rsid w:val="00E6497C"/>
    <w:rsid w:val="00E64DC7"/>
    <w:rsid w:val="00E650D2"/>
    <w:rsid w:val="00E6562D"/>
    <w:rsid w:val="00E666FD"/>
    <w:rsid w:val="00E6678A"/>
    <w:rsid w:val="00E66A0A"/>
    <w:rsid w:val="00E677F8"/>
    <w:rsid w:val="00E67B78"/>
    <w:rsid w:val="00E67DCB"/>
    <w:rsid w:val="00E71F54"/>
    <w:rsid w:val="00E72117"/>
    <w:rsid w:val="00E72247"/>
    <w:rsid w:val="00E72B6A"/>
    <w:rsid w:val="00E73218"/>
    <w:rsid w:val="00E73577"/>
    <w:rsid w:val="00E73985"/>
    <w:rsid w:val="00E73C7A"/>
    <w:rsid w:val="00E73DC5"/>
    <w:rsid w:val="00E746C3"/>
    <w:rsid w:val="00E75301"/>
    <w:rsid w:val="00E7542B"/>
    <w:rsid w:val="00E754B1"/>
    <w:rsid w:val="00E75CBB"/>
    <w:rsid w:val="00E75E71"/>
    <w:rsid w:val="00E76AF8"/>
    <w:rsid w:val="00E76C0C"/>
    <w:rsid w:val="00E7707C"/>
    <w:rsid w:val="00E77AF4"/>
    <w:rsid w:val="00E77D22"/>
    <w:rsid w:val="00E77D2D"/>
    <w:rsid w:val="00E8003A"/>
    <w:rsid w:val="00E8041B"/>
    <w:rsid w:val="00E810FE"/>
    <w:rsid w:val="00E812D7"/>
    <w:rsid w:val="00E81570"/>
    <w:rsid w:val="00E817A1"/>
    <w:rsid w:val="00E81965"/>
    <w:rsid w:val="00E81A70"/>
    <w:rsid w:val="00E82150"/>
    <w:rsid w:val="00E82C3C"/>
    <w:rsid w:val="00E82FB9"/>
    <w:rsid w:val="00E830EB"/>
    <w:rsid w:val="00E833A4"/>
    <w:rsid w:val="00E8355D"/>
    <w:rsid w:val="00E840D5"/>
    <w:rsid w:val="00E843EE"/>
    <w:rsid w:val="00E847D6"/>
    <w:rsid w:val="00E855ED"/>
    <w:rsid w:val="00E85C9D"/>
    <w:rsid w:val="00E862BC"/>
    <w:rsid w:val="00E8661C"/>
    <w:rsid w:val="00E869CE"/>
    <w:rsid w:val="00E87791"/>
    <w:rsid w:val="00E877C2"/>
    <w:rsid w:val="00E902D4"/>
    <w:rsid w:val="00E90B2C"/>
    <w:rsid w:val="00E91198"/>
    <w:rsid w:val="00E9157C"/>
    <w:rsid w:val="00E91B80"/>
    <w:rsid w:val="00E91C96"/>
    <w:rsid w:val="00E9243A"/>
    <w:rsid w:val="00E924C6"/>
    <w:rsid w:val="00E92DF4"/>
    <w:rsid w:val="00E93B8A"/>
    <w:rsid w:val="00E93F27"/>
    <w:rsid w:val="00E94120"/>
    <w:rsid w:val="00E9474C"/>
    <w:rsid w:val="00E9480A"/>
    <w:rsid w:val="00E949C1"/>
    <w:rsid w:val="00E94A3F"/>
    <w:rsid w:val="00E94B8B"/>
    <w:rsid w:val="00E952CB"/>
    <w:rsid w:val="00E95971"/>
    <w:rsid w:val="00E972C4"/>
    <w:rsid w:val="00E97302"/>
    <w:rsid w:val="00E9760E"/>
    <w:rsid w:val="00E97D4A"/>
    <w:rsid w:val="00EA00FC"/>
    <w:rsid w:val="00EA0A30"/>
    <w:rsid w:val="00EA154D"/>
    <w:rsid w:val="00EA1CE8"/>
    <w:rsid w:val="00EA229A"/>
    <w:rsid w:val="00EA2942"/>
    <w:rsid w:val="00EA2E56"/>
    <w:rsid w:val="00EA30F4"/>
    <w:rsid w:val="00EA3790"/>
    <w:rsid w:val="00EA390E"/>
    <w:rsid w:val="00EA3AF0"/>
    <w:rsid w:val="00EA3F1B"/>
    <w:rsid w:val="00EA48E5"/>
    <w:rsid w:val="00EA4AAB"/>
    <w:rsid w:val="00EA4BDA"/>
    <w:rsid w:val="00EA5178"/>
    <w:rsid w:val="00EA5F56"/>
    <w:rsid w:val="00EA612E"/>
    <w:rsid w:val="00EA6144"/>
    <w:rsid w:val="00EA6883"/>
    <w:rsid w:val="00EA697C"/>
    <w:rsid w:val="00EA72E1"/>
    <w:rsid w:val="00EA7760"/>
    <w:rsid w:val="00EA7B10"/>
    <w:rsid w:val="00EA7C8F"/>
    <w:rsid w:val="00EA7DEA"/>
    <w:rsid w:val="00EA7EFB"/>
    <w:rsid w:val="00EA7FFA"/>
    <w:rsid w:val="00EB068D"/>
    <w:rsid w:val="00EB0D9B"/>
    <w:rsid w:val="00EB1285"/>
    <w:rsid w:val="00EB14B5"/>
    <w:rsid w:val="00EB1614"/>
    <w:rsid w:val="00EB2082"/>
    <w:rsid w:val="00EB21EF"/>
    <w:rsid w:val="00EB2235"/>
    <w:rsid w:val="00EB269A"/>
    <w:rsid w:val="00EB2884"/>
    <w:rsid w:val="00EB2B1B"/>
    <w:rsid w:val="00EB346D"/>
    <w:rsid w:val="00EB3A42"/>
    <w:rsid w:val="00EB3F0C"/>
    <w:rsid w:val="00EB400D"/>
    <w:rsid w:val="00EB5681"/>
    <w:rsid w:val="00EB5C5F"/>
    <w:rsid w:val="00EB61D3"/>
    <w:rsid w:val="00EB725B"/>
    <w:rsid w:val="00EB7C88"/>
    <w:rsid w:val="00EC09CB"/>
    <w:rsid w:val="00EC0CBF"/>
    <w:rsid w:val="00EC1372"/>
    <w:rsid w:val="00EC18C9"/>
    <w:rsid w:val="00EC1909"/>
    <w:rsid w:val="00EC1A6B"/>
    <w:rsid w:val="00EC1BFF"/>
    <w:rsid w:val="00EC1CF6"/>
    <w:rsid w:val="00EC2B50"/>
    <w:rsid w:val="00EC3F5D"/>
    <w:rsid w:val="00EC4828"/>
    <w:rsid w:val="00EC5069"/>
    <w:rsid w:val="00EC54AF"/>
    <w:rsid w:val="00EC5790"/>
    <w:rsid w:val="00EC6186"/>
    <w:rsid w:val="00EC618F"/>
    <w:rsid w:val="00EC63F9"/>
    <w:rsid w:val="00EC6981"/>
    <w:rsid w:val="00EC69FA"/>
    <w:rsid w:val="00EC6B6A"/>
    <w:rsid w:val="00EC6C85"/>
    <w:rsid w:val="00EC6C9A"/>
    <w:rsid w:val="00EC7EE2"/>
    <w:rsid w:val="00ED0292"/>
    <w:rsid w:val="00ED0667"/>
    <w:rsid w:val="00ED0DF8"/>
    <w:rsid w:val="00ED103A"/>
    <w:rsid w:val="00ED145D"/>
    <w:rsid w:val="00ED19EE"/>
    <w:rsid w:val="00ED208D"/>
    <w:rsid w:val="00ED249E"/>
    <w:rsid w:val="00ED274C"/>
    <w:rsid w:val="00ED2CF7"/>
    <w:rsid w:val="00ED44B1"/>
    <w:rsid w:val="00ED453C"/>
    <w:rsid w:val="00ED50D4"/>
    <w:rsid w:val="00ED5590"/>
    <w:rsid w:val="00ED5EC1"/>
    <w:rsid w:val="00ED64A2"/>
    <w:rsid w:val="00ED690B"/>
    <w:rsid w:val="00ED6EB2"/>
    <w:rsid w:val="00ED76EB"/>
    <w:rsid w:val="00EE02FE"/>
    <w:rsid w:val="00EE15F5"/>
    <w:rsid w:val="00EE1D0D"/>
    <w:rsid w:val="00EE2858"/>
    <w:rsid w:val="00EE2CCD"/>
    <w:rsid w:val="00EE2E2C"/>
    <w:rsid w:val="00EE3234"/>
    <w:rsid w:val="00EE48B0"/>
    <w:rsid w:val="00EE5FDF"/>
    <w:rsid w:val="00EE6411"/>
    <w:rsid w:val="00EE78AE"/>
    <w:rsid w:val="00EF0DA8"/>
    <w:rsid w:val="00EF1020"/>
    <w:rsid w:val="00EF11F6"/>
    <w:rsid w:val="00EF161D"/>
    <w:rsid w:val="00EF1905"/>
    <w:rsid w:val="00EF2051"/>
    <w:rsid w:val="00EF23C7"/>
    <w:rsid w:val="00EF2416"/>
    <w:rsid w:val="00EF2B2D"/>
    <w:rsid w:val="00EF321F"/>
    <w:rsid w:val="00EF431E"/>
    <w:rsid w:val="00EF4C0B"/>
    <w:rsid w:val="00EF5F22"/>
    <w:rsid w:val="00EF67A4"/>
    <w:rsid w:val="00EF74DA"/>
    <w:rsid w:val="00EF7A55"/>
    <w:rsid w:val="00F00A2B"/>
    <w:rsid w:val="00F00DF2"/>
    <w:rsid w:val="00F01314"/>
    <w:rsid w:val="00F0189A"/>
    <w:rsid w:val="00F01AF6"/>
    <w:rsid w:val="00F01E22"/>
    <w:rsid w:val="00F0230A"/>
    <w:rsid w:val="00F0291B"/>
    <w:rsid w:val="00F0297C"/>
    <w:rsid w:val="00F02B5D"/>
    <w:rsid w:val="00F04624"/>
    <w:rsid w:val="00F049B3"/>
    <w:rsid w:val="00F04BF6"/>
    <w:rsid w:val="00F050CE"/>
    <w:rsid w:val="00F05554"/>
    <w:rsid w:val="00F05F61"/>
    <w:rsid w:val="00F0601D"/>
    <w:rsid w:val="00F0620B"/>
    <w:rsid w:val="00F06594"/>
    <w:rsid w:val="00F06E1A"/>
    <w:rsid w:val="00F10314"/>
    <w:rsid w:val="00F11604"/>
    <w:rsid w:val="00F11946"/>
    <w:rsid w:val="00F11BA4"/>
    <w:rsid w:val="00F12362"/>
    <w:rsid w:val="00F12366"/>
    <w:rsid w:val="00F124CA"/>
    <w:rsid w:val="00F126D4"/>
    <w:rsid w:val="00F1277D"/>
    <w:rsid w:val="00F12C4C"/>
    <w:rsid w:val="00F130C7"/>
    <w:rsid w:val="00F1386E"/>
    <w:rsid w:val="00F14043"/>
    <w:rsid w:val="00F14AF0"/>
    <w:rsid w:val="00F15041"/>
    <w:rsid w:val="00F15515"/>
    <w:rsid w:val="00F15857"/>
    <w:rsid w:val="00F15954"/>
    <w:rsid w:val="00F161E8"/>
    <w:rsid w:val="00F16631"/>
    <w:rsid w:val="00F16C8E"/>
    <w:rsid w:val="00F17A83"/>
    <w:rsid w:val="00F17D4C"/>
    <w:rsid w:val="00F21210"/>
    <w:rsid w:val="00F218AC"/>
    <w:rsid w:val="00F21944"/>
    <w:rsid w:val="00F21A33"/>
    <w:rsid w:val="00F22838"/>
    <w:rsid w:val="00F2290C"/>
    <w:rsid w:val="00F22BBA"/>
    <w:rsid w:val="00F22C8C"/>
    <w:rsid w:val="00F24D15"/>
    <w:rsid w:val="00F25E05"/>
    <w:rsid w:val="00F26099"/>
    <w:rsid w:val="00F26752"/>
    <w:rsid w:val="00F2685E"/>
    <w:rsid w:val="00F268A2"/>
    <w:rsid w:val="00F26DBF"/>
    <w:rsid w:val="00F2712F"/>
    <w:rsid w:val="00F27156"/>
    <w:rsid w:val="00F27494"/>
    <w:rsid w:val="00F305BF"/>
    <w:rsid w:val="00F30F3C"/>
    <w:rsid w:val="00F31ACE"/>
    <w:rsid w:val="00F31C83"/>
    <w:rsid w:val="00F32B6A"/>
    <w:rsid w:val="00F33175"/>
    <w:rsid w:val="00F3321F"/>
    <w:rsid w:val="00F33C46"/>
    <w:rsid w:val="00F34365"/>
    <w:rsid w:val="00F344E3"/>
    <w:rsid w:val="00F348A2"/>
    <w:rsid w:val="00F34CAF"/>
    <w:rsid w:val="00F3501D"/>
    <w:rsid w:val="00F35121"/>
    <w:rsid w:val="00F35950"/>
    <w:rsid w:val="00F35B9D"/>
    <w:rsid w:val="00F36877"/>
    <w:rsid w:val="00F36FF7"/>
    <w:rsid w:val="00F373BB"/>
    <w:rsid w:val="00F40A5D"/>
    <w:rsid w:val="00F40BB7"/>
    <w:rsid w:val="00F415EF"/>
    <w:rsid w:val="00F41704"/>
    <w:rsid w:val="00F41D5A"/>
    <w:rsid w:val="00F42189"/>
    <w:rsid w:val="00F43091"/>
    <w:rsid w:val="00F43114"/>
    <w:rsid w:val="00F433DC"/>
    <w:rsid w:val="00F43A51"/>
    <w:rsid w:val="00F444A8"/>
    <w:rsid w:val="00F44C28"/>
    <w:rsid w:val="00F45803"/>
    <w:rsid w:val="00F46404"/>
    <w:rsid w:val="00F46737"/>
    <w:rsid w:val="00F46B18"/>
    <w:rsid w:val="00F46CE1"/>
    <w:rsid w:val="00F47B93"/>
    <w:rsid w:val="00F50A90"/>
    <w:rsid w:val="00F5115A"/>
    <w:rsid w:val="00F51164"/>
    <w:rsid w:val="00F5186A"/>
    <w:rsid w:val="00F52709"/>
    <w:rsid w:val="00F52F94"/>
    <w:rsid w:val="00F53FB8"/>
    <w:rsid w:val="00F542F2"/>
    <w:rsid w:val="00F54CB6"/>
    <w:rsid w:val="00F55461"/>
    <w:rsid w:val="00F556CE"/>
    <w:rsid w:val="00F55B1C"/>
    <w:rsid w:val="00F56BCF"/>
    <w:rsid w:val="00F56E13"/>
    <w:rsid w:val="00F57265"/>
    <w:rsid w:val="00F60812"/>
    <w:rsid w:val="00F6083A"/>
    <w:rsid w:val="00F6143F"/>
    <w:rsid w:val="00F62B1E"/>
    <w:rsid w:val="00F62FAF"/>
    <w:rsid w:val="00F64938"/>
    <w:rsid w:val="00F653C0"/>
    <w:rsid w:val="00F65860"/>
    <w:rsid w:val="00F65E59"/>
    <w:rsid w:val="00F66A95"/>
    <w:rsid w:val="00F66B48"/>
    <w:rsid w:val="00F66DD6"/>
    <w:rsid w:val="00F675D6"/>
    <w:rsid w:val="00F6780D"/>
    <w:rsid w:val="00F67845"/>
    <w:rsid w:val="00F67E74"/>
    <w:rsid w:val="00F704D3"/>
    <w:rsid w:val="00F705F3"/>
    <w:rsid w:val="00F7071F"/>
    <w:rsid w:val="00F70916"/>
    <w:rsid w:val="00F711A4"/>
    <w:rsid w:val="00F71209"/>
    <w:rsid w:val="00F71246"/>
    <w:rsid w:val="00F71438"/>
    <w:rsid w:val="00F71B4F"/>
    <w:rsid w:val="00F721E0"/>
    <w:rsid w:val="00F72662"/>
    <w:rsid w:val="00F728FF"/>
    <w:rsid w:val="00F73165"/>
    <w:rsid w:val="00F73A58"/>
    <w:rsid w:val="00F74103"/>
    <w:rsid w:val="00F747C4"/>
    <w:rsid w:val="00F748AA"/>
    <w:rsid w:val="00F75AFB"/>
    <w:rsid w:val="00F761D2"/>
    <w:rsid w:val="00F77188"/>
    <w:rsid w:val="00F7789D"/>
    <w:rsid w:val="00F77A8D"/>
    <w:rsid w:val="00F77D15"/>
    <w:rsid w:val="00F77DBF"/>
    <w:rsid w:val="00F80346"/>
    <w:rsid w:val="00F805AB"/>
    <w:rsid w:val="00F81152"/>
    <w:rsid w:val="00F816E2"/>
    <w:rsid w:val="00F82377"/>
    <w:rsid w:val="00F8238F"/>
    <w:rsid w:val="00F841BF"/>
    <w:rsid w:val="00F84379"/>
    <w:rsid w:val="00F84898"/>
    <w:rsid w:val="00F84C5C"/>
    <w:rsid w:val="00F84C72"/>
    <w:rsid w:val="00F852CC"/>
    <w:rsid w:val="00F8542C"/>
    <w:rsid w:val="00F8557C"/>
    <w:rsid w:val="00F8579E"/>
    <w:rsid w:val="00F86A85"/>
    <w:rsid w:val="00F86F73"/>
    <w:rsid w:val="00F876E0"/>
    <w:rsid w:val="00F87CEC"/>
    <w:rsid w:val="00F90524"/>
    <w:rsid w:val="00F90BFE"/>
    <w:rsid w:val="00F90E58"/>
    <w:rsid w:val="00F90F69"/>
    <w:rsid w:val="00F9217C"/>
    <w:rsid w:val="00F92405"/>
    <w:rsid w:val="00F92695"/>
    <w:rsid w:val="00F92708"/>
    <w:rsid w:val="00F932F1"/>
    <w:rsid w:val="00F93427"/>
    <w:rsid w:val="00F93D71"/>
    <w:rsid w:val="00F94584"/>
    <w:rsid w:val="00F956FE"/>
    <w:rsid w:val="00F9590C"/>
    <w:rsid w:val="00F95A38"/>
    <w:rsid w:val="00F95A45"/>
    <w:rsid w:val="00F96266"/>
    <w:rsid w:val="00F9769B"/>
    <w:rsid w:val="00F97A70"/>
    <w:rsid w:val="00FA039E"/>
    <w:rsid w:val="00FA0556"/>
    <w:rsid w:val="00FA0DA1"/>
    <w:rsid w:val="00FA0DAD"/>
    <w:rsid w:val="00FA1614"/>
    <w:rsid w:val="00FA16B4"/>
    <w:rsid w:val="00FA1776"/>
    <w:rsid w:val="00FA1B32"/>
    <w:rsid w:val="00FA24E3"/>
    <w:rsid w:val="00FA3116"/>
    <w:rsid w:val="00FA3CF2"/>
    <w:rsid w:val="00FA4DC3"/>
    <w:rsid w:val="00FA4FC5"/>
    <w:rsid w:val="00FA56FF"/>
    <w:rsid w:val="00FA5D3C"/>
    <w:rsid w:val="00FA604B"/>
    <w:rsid w:val="00FA71D7"/>
    <w:rsid w:val="00FA7382"/>
    <w:rsid w:val="00FA7493"/>
    <w:rsid w:val="00FA7859"/>
    <w:rsid w:val="00FB0A80"/>
    <w:rsid w:val="00FB170E"/>
    <w:rsid w:val="00FB199A"/>
    <w:rsid w:val="00FB20B9"/>
    <w:rsid w:val="00FB331B"/>
    <w:rsid w:val="00FB3B70"/>
    <w:rsid w:val="00FB3DCD"/>
    <w:rsid w:val="00FB3FD8"/>
    <w:rsid w:val="00FB5682"/>
    <w:rsid w:val="00FB5D0D"/>
    <w:rsid w:val="00FB625A"/>
    <w:rsid w:val="00FB644B"/>
    <w:rsid w:val="00FB66E4"/>
    <w:rsid w:val="00FB7556"/>
    <w:rsid w:val="00FB76C8"/>
    <w:rsid w:val="00FB7CD3"/>
    <w:rsid w:val="00FB7CFD"/>
    <w:rsid w:val="00FC1393"/>
    <w:rsid w:val="00FC18B4"/>
    <w:rsid w:val="00FC1B13"/>
    <w:rsid w:val="00FC1CD3"/>
    <w:rsid w:val="00FC1D9B"/>
    <w:rsid w:val="00FC1EE8"/>
    <w:rsid w:val="00FC2EAF"/>
    <w:rsid w:val="00FC2F6C"/>
    <w:rsid w:val="00FC2F8B"/>
    <w:rsid w:val="00FC3822"/>
    <w:rsid w:val="00FC42DD"/>
    <w:rsid w:val="00FC462D"/>
    <w:rsid w:val="00FC4A77"/>
    <w:rsid w:val="00FC5BF3"/>
    <w:rsid w:val="00FC70A4"/>
    <w:rsid w:val="00FC7649"/>
    <w:rsid w:val="00FC7BFD"/>
    <w:rsid w:val="00FD021C"/>
    <w:rsid w:val="00FD0913"/>
    <w:rsid w:val="00FD0A58"/>
    <w:rsid w:val="00FD0E6C"/>
    <w:rsid w:val="00FD1533"/>
    <w:rsid w:val="00FD1591"/>
    <w:rsid w:val="00FD252F"/>
    <w:rsid w:val="00FD2AD7"/>
    <w:rsid w:val="00FD2C59"/>
    <w:rsid w:val="00FD3640"/>
    <w:rsid w:val="00FD3EA2"/>
    <w:rsid w:val="00FD4526"/>
    <w:rsid w:val="00FD4D59"/>
    <w:rsid w:val="00FD5416"/>
    <w:rsid w:val="00FD5491"/>
    <w:rsid w:val="00FD55EA"/>
    <w:rsid w:val="00FD59BD"/>
    <w:rsid w:val="00FD5A55"/>
    <w:rsid w:val="00FD6014"/>
    <w:rsid w:val="00FD6EE6"/>
    <w:rsid w:val="00FD6FB5"/>
    <w:rsid w:val="00FD7BDB"/>
    <w:rsid w:val="00FD7DD7"/>
    <w:rsid w:val="00FE1320"/>
    <w:rsid w:val="00FE16BA"/>
    <w:rsid w:val="00FE2C34"/>
    <w:rsid w:val="00FE2F42"/>
    <w:rsid w:val="00FE3CE8"/>
    <w:rsid w:val="00FE44D3"/>
    <w:rsid w:val="00FE4573"/>
    <w:rsid w:val="00FE45ED"/>
    <w:rsid w:val="00FE5130"/>
    <w:rsid w:val="00FE54AD"/>
    <w:rsid w:val="00FE5E8A"/>
    <w:rsid w:val="00FE7334"/>
    <w:rsid w:val="00FF0D5A"/>
    <w:rsid w:val="00FF0E81"/>
    <w:rsid w:val="00FF1E81"/>
    <w:rsid w:val="00FF2503"/>
    <w:rsid w:val="00FF2BEF"/>
    <w:rsid w:val="00FF309B"/>
    <w:rsid w:val="00FF3C32"/>
    <w:rsid w:val="00FF489E"/>
    <w:rsid w:val="00FF5965"/>
    <w:rsid w:val="00FF5C34"/>
    <w:rsid w:val="00FF6182"/>
    <w:rsid w:val="00FF61B6"/>
    <w:rsid w:val="00FF6974"/>
    <w:rsid w:val="00FF6B8D"/>
    <w:rsid w:val="00FF6E54"/>
    <w:rsid w:val="00FF72CA"/>
    <w:rsid w:val="00FF7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8C"/>
    <w:rPr>
      <w:b/>
      <w:b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12"/>
    <w:pPr>
      <w:keepNext/>
      <w:spacing w:before="240" w:after="60"/>
      <w:outlineLvl w:val="0"/>
    </w:pPr>
    <w:rPr>
      <w:rFonts w:ascii="Cambria" w:hAnsi="Cambria" w:cs="Cambria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1712"/>
    <w:pPr>
      <w:keepNext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1712"/>
    <w:pPr>
      <w:keepNext/>
      <w:spacing w:before="240" w:after="60"/>
      <w:outlineLvl w:val="2"/>
    </w:pPr>
    <w:rPr>
      <w:rFonts w:ascii="Cambria" w:hAnsi="Cambria" w:cs="Cambri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712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712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712"/>
    <w:rPr>
      <w:rFonts w:ascii="Cambria" w:hAnsi="Cambria" w:cs="Cambria"/>
      <w:b/>
      <w:bCs/>
      <w:color w:val="000000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A912F2"/>
    <w:pPr>
      <w:jc w:val="center"/>
    </w:pPr>
    <w:rPr>
      <w:rFonts w:ascii="Arial" w:hAnsi="Arial" w:cs="Arial"/>
      <w:lang w:val="el-GR"/>
    </w:rPr>
  </w:style>
  <w:style w:type="character" w:customStyle="1" w:styleId="TitleChar">
    <w:name w:val="Title Char"/>
    <w:basedOn w:val="DefaultParagraphFont"/>
    <w:link w:val="Title"/>
    <w:uiPriority w:val="99"/>
    <w:locked/>
    <w:rsid w:val="002B0137"/>
    <w:rPr>
      <w:rFonts w:ascii="Arial" w:hAnsi="Arial" w:cs="Arial"/>
      <w:b/>
      <w:bCs/>
      <w:color w:val="000000"/>
      <w:sz w:val="24"/>
      <w:szCs w:val="24"/>
      <w:lang w:val="el-GR"/>
    </w:rPr>
  </w:style>
  <w:style w:type="paragraph" w:styleId="BodyText">
    <w:name w:val="Body Text"/>
    <w:basedOn w:val="Normal"/>
    <w:link w:val="BodyTextChar"/>
    <w:uiPriority w:val="99"/>
    <w:rsid w:val="00A912F2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237B"/>
    <w:rPr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912F2"/>
    <w:rPr>
      <w:rFonts w:ascii="Arial" w:hAnsi="Arial" w:cs="Arial"/>
      <w:b w:val="0"/>
      <w:bCs w:val="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E6D19"/>
    <w:rPr>
      <w:rFonts w:ascii="Arial" w:hAnsi="Arial" w:cs="Arial"/>
      <w:color w:val="00000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A912F2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B3B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78F3"/>
    <w:rPr>
      <w:b/>
      <w:bCs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FB3B70"/>
  </w:style>
  <w:style w:type="paragraph" w:styleId="Header">
    <w:name w:val="header"/>
    <w:basedOn w:val="Normal"/>
    <w:link w:val="HeaderChar"/>
    <w:uiPriority w:val="99"/>
    <w:rsid w:val="00BF47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3D71"/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54604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37B"/>
    <w:rPr>
      <w:b/>
      <w:bCs/>
      <w:color w:val="000000"/>
      <w:sz w:val="2"/>
      <w:szCs w:val="2"/>
    </w:rPr>
  </w:style>
  <w:style w:type="paragraph" w:styleId="ListParagraph">
    <w:name w:val="List Paragraph"/>
    <w:basedOn w:val="Normal"/>
    <w:qFormat/>
    <w:rsid w:val="008756B9"/>
    <w:pPr>
      <w:ind w:left="720"/>
    </w:pPr>
  </w:style>
  <w:style w:type="paragraph" w:customStyle="1" w:styleId="ListParagraph1">
    <w:name w:val="List Paragraph1"/>
    <w:basedOn w:val="Normal"/>
    <w:uiPriority w:val="99"/>
    <w:rsid w:val="007B41AB"/>
    <w:pPr>
      <w:ind w:left="720"/>
    </w:pPr>
  </w:style>
  <w:style w:type="paragraph" w:styleId="TOC1">
    <w:name w:val="toc 1"/>
    <w:basedOn w:val="Normal"/>
    <w:next w:val="Normal"/>
    <w:autoRedefine/>
    <w:uiPriority w:val="99"/>
    <w:semiHidden/>
    <w:rsid w:val="00461712"/>
  </w:style>
  <w:style w:type="character" w:styleId="Hyperlink">
    <w:name w:val="Hyperlink"/>
    <w:basedOn w:val="DefaultParagraphFont"/>
    <w:uiPriority w:val="99"/>
    <w:rsid w:val="00461712"/>
    <w:rPr>
      <w:color w:val="0000FF"/>
      <w:u w:val="single"/>
    </w:rPr>
  </w:style>
  <w:style w:type="table" w:styleId="TableGrid">
    <w:name w:val="Table Grid"/>
    <w:basedOn w:val="TableNormal"/>
    <w:uiPriority w:val="99"/>
    <w:rsid w:val="0012487B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6">
    <w:name w:val="text6"/>
    <w:uiPriority w:val="99"/>
    <w:rsid w:val="0075762D"/>
    <w:rPr>
      <w:rFonts w:ascii="Verdana" w:hAnsi="Verdana" w:cs="Verdana"/>
      <w:color w:val="auto"/>
      <w:sz w:val="17"/>
      <w:szCs w:val="17"/>
    </w:rPr>
  </w:style>
  <w:style w:type="character" w:customStyle="1" w:styleId="CharChar2">
    <w:name w:val="Char Char2"/>
    <w:uiPriority w:val="99"/>
    <w:rsid w:val="003F6AB1"/>
    <w:rPr>
      <w:rFonts w:ascii="Arial" w:hAnsi="Arial" w:cs="Arial"/>
      <w:b/>
      <w:bCs/>
      <w:color w:val="000000"/>
      <w:sz w:val="24"/>
      <w:szCs w:val="24"/>
      <w:lang w:val="el-GR"/>
    </w:rPr>
  </w:style>
  <w:style w:type="character" w:customStyle="1" w:styleId="CharChar1">
    <w:name w:val="Char Char1"/>
    <w:uiPriority w:val="99"/>
    <w:semiHidden/>
    <w:rsid w:val="003F6AB1"/>
    <w:rPr>
      <w:rFonts w:ascii="Arial" w:hAnsi="Arial" w:cs="Arial"/>
      <w:color w:val="000000"/>
      <w:lang w:val="en-GB"/>
    </w:rPr>
  </w:style>
  <w:style w:type="character" w:customStyle="1" w:styleId="apple-converted-space">
    <w:name w:val="apple-converted-space"/>
    <w:basedOn w:val="DefaultParagraphFont"/>
    <w:rsid w:val="001137F3"/>
  </w:style>
  <w:style w:type="paragraph" w:styleId="Subtitle">
    <w:name w:val="Subtitle"/>
    <w:basedOn w:val="Normal"/>
    <w:next w:val="Normal"/>
    <w:link w:val="SubtitleChar"/>
    <w:qFormat/>
    <w:locked/>
    <w:rsid w:val="002A0B53"/>
    <w:pPr>
      <w:numPr>
        <w:ilvl w:val="1"/>
      </w:numPr>
      <w:spacing w:after="200" w:line="276" w:lineRule="auto"/>
    </w:pPr>
    <w:rPr>
      <w:rFonts w:ascii="Cambria" w:hAnsi="Cambria"/>
      <w:b w:val="0"/>
      <w:bCs w:val="0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rsid w:val="002A0B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0579"/>
    <w:rPr>
      <w:rFonts w:ascii="Calibri" w:eastAsia="Calibri" w:hAnsi="Calibri"/>
      <w:b w:val="0"/>
      <w:bCs w:val="0"/>
      <w:color w:val="auto"/>
      <w:sz w:val="22"/>
      <w:szCs w:val="21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0579"/>
    <w:rPr>
      <w:rFonts w:ascii="Calibri" w:eastAsia="Calibri" w:hAnsi="Calibri" w:cs="Times New Roman"/>
      <w:szCs w:val="21"/>
      <w:lang w:val="el-GR"/>
    </w:rPr>
  </w:style>
  <w:style w:type="character" w:customStyle="1" w:styleId="FootnoteTextChar1">
    <w:name w:val="Footnote Text Char1"/>
    <w:basedOn w:val="DefaultParagraphFont"/>
    <w:semiHidden/>
    <w:locked/>
    <w:rsid w:val="002A323D"/>
    <w:rPr>
      <w:rFonts w:eastAsia="Times New Roman"/>
      <w:lang w:val="en-US" w:eastAsia="en-US"/>
    </w:rPr>
  </w:style>
  <w:style w:type="character" w:styleId="Emphasis">
    <w:name w:val="Emphasis"/>
    <w:basedOn w:val="DefaultParagraphFont"/>
    <w:qFormat/>
    <w:locked/>
    <w:rsid w:val="000D70F3"/>
    <w:rPr>
      <w:i/>
      <w:iCs/>
    </w:rPr>
  </w:style>
  <w:style w:type="table" w:customStyle="1" w:styleId="TableGrid1">
    <w:name w:val="Table Grid1"/>
    <w:basedOn w:val="TableNormal"/>
    <w:next w:val="TableGrid"/>
    <w:rsid w:val="00E27309"/>
    <w:pPr>
      <w:spacing w:after="200" w:line="276" w:lineRule="auto"/>
    </w:pPr>
    <w:rPr>
      <w:rFonts w:ascii="Calibri" w:eastAsia="MS Mincho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8C"/>
    <w:rPr>
      <w:b/>
      <w:b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12"/>
    <w:pPr>
      <w:keepNext/>
      <w:spacing w:before="240" w:after="60"/>
      <w:outlineLvl w:val="0"/>
    </w:pPr>
    <w:rPr>
      <w:rFonts w:ascii="Cambria" w:hAnsi="Cambria" w:cs="Cambria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1712"/>
    <w:pPr>
      <w:keepNext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1712"/>
    <w:pPr>
      <w:keepNext/>
      <w:spacing w:before="240" w:after="60"/>
      <w:outlineLvl w:val="2"/>
    </w:pPr>
    <w:rPr>
      <w:rFonts w:ascii="Cambria" w:hAnsi="Cambria" w:cs="Cambri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712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712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712"/>
    <w:rPr>
      <w:rFonts w:ascii="Cambria" w:hAnsi="Cambria" w:cs="Cambria"/>
      <w:b/>
      <w:bCs/>
      <w:color w:val="000000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A912F2"/>
    <w:pPr>
      <w:jc w:val="center"/>
    </w:pPr>
    <w:rPr>
      <w:rFonts w:ascii="Arial" w:hAnsi="Arial" w:cs="Arial"/>
      <w:lang w:val="el-GR"/>
    </w:rPr>
  </w:style>
  <w:style w:type="character" w:customStyle="1" w:styleId="TitleChar">
    <w:name w:val="Title Char"/>
    <w:basedOn w:val="DefaultParagraphFont"/>
    <w:link w:val="Title"/>
    <w:uiPriority w:val="99"/>
    <w:locked/>
    <w:rsid w:val="002B0137"/>
    <w:rPr>
      <w:rFonts w:ascii="Arial" w:hAnsi="Arial" w:cs="Arial"/>
      <w:b/>
      <w:bCs/>
      <w:color w:val="000000"/>
      <w:sz w:val="24"/>
      <w:szCs w:val="24"/>
      <w:lang w:val="el-GR"/>
    </w:rPr>
  </w:style>
  <w:style w:type="paragraph" w:styleId="BodyText">
    <w:name w:val="Body Text"/>
    <w:basedOn w:val="Normal"/>
    <w:link w:val="BodyTextChar"/>
    <w:uiPriority w:val="99"/>
    <w:rsid w:val="00A912F2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237B"/>
    <w:rPr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912F2"/>
    <w:rPr>
      <w:rFonts w:ascii="Arial" w:hAnsi="Arial" w:cs="Arial"/>
      <w:b w:val="0"/>
      <w:bCs w:val="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E6D19"/>
    <w:rPr>
      <w:rFonts w:ascii="Arial" w:hAnsi="Arial" w:cs="Arial"/>
      <w:color w:val="00000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A912F2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B3B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78F3"/>
    <w:rPr>
      <w:b/>
      <w:bCs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FB3B70"/>
  </w:style>
  <w:style w:type="paragraph" w:styleId="Header">
    <w:name w:val="header"/>
    <w:basedOn w:val="Normal"/>
    <w:link w:val="HeaderChar"/>
    <w:uiPriority w:val="99"/>
    <w:rsid w:val="00BF47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3D71"/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54604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37B"/>
    <w:rPr>
      <w:b/>
      <w:bCs/>
      <w:color w:val="000000"/>
      <w:sz w:val="2"/>
      <w:szCs w:val="2"/>
    </w:rPr>
  </w:style>
  <w:style w:type="paragraph" w:styleId="ListParagraph">
    <w:name w:val="List Paragraph"/>
    <w:basedOn w:val="Normal"/>
    <w:qFormat/>
    <w:rsid w:val="008756B9"/>
    <w:pPr>
      <w:ind w:left="720"/>
    </w:pPr>
  </w:style>
  <w:style w:type="paragraph" w:customStyle="1" w:styleId="ListParagraph1">
    <w:name w:val="List Paragraph1"/>
    <w:basedOn w:val="Normal"/>
    <w:uiPriority w:val="99"/>
    <w:rsid w:val="007B41AB"/>
    <w:pPr>
      <w:ind w:left="720"/>
    </w:pPr>
  </w:style>
  <w:style w:type="paragraph" w:styleId="TOC1">
    <w:name w:val="toc 1"/>
    <w:basedOn w:val="Normal"/>
    <w:next w:val="Normal"/>
    <w:autoRedefine/>
    <w:uiPriority w:val="99"/>
    <w:semiHidden/>
    <w:rsid w:val="00461712"/>
  </w:style>
  <w:style w:type="character" w:styleId="Hyperlink">
    <w:name w:val="Hyperlink"/>
    <w:basedOn w:val="DefaultParagraphFont"/>
    <w:uiPriority w:val="99"/>
    <w:rsid w:val="00461712"/>
    <w:rPr>
      <w:color w:val="0000FF"/>
      <w:u w:val="single"/>
    </w:rPr>
  </w:style>
  <w:style w:type="table" w:styleId="TableGrid">
    <w:name w:val="Table Grid"/>
    <w:basedOn w:val="TableNormal"/>
    <w:uiPriority w:val="99"/>
    <w:rsid w:val="0012487B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6">
    <w:name w:val="text6"/>
    <w:uiPriority w:val="99"/>
    <w:rsid w:val="0075762D"/>
    <w:rPr>
      <w:rFonts w:ascii="Verdana" w:hAnsi="Verdana" w:cs="Verdana"/>
      <w:color w:val="auto"/>
      <w:sz w:val="17"/>
      <w:szCs w:val="17"/>
    </w:rPr>
  </w:style>
  <w:style w:type="character" w:customStyle="1" w:styleId="CharChar2">
    <w:name w:val="Char Char2"/>
    <w:uiPriority w:val="99"/>
    <w:rsid w:val="003F6AB1"/>
    <w:rPr>
      <w:rFonts w:ascii="Arial" w:hAnsi="Arial" w:cs="Arial"/>
      <w:b/>
      <w:bCs/>
      <w:color w:val="000000"/>
      <w:sz w:val="24"/>
      <w:szCs w:val="24"/>
      <w:lang w:val="el-GR"/>
    </w:rPr>
  </w:style>
  <w:style w:type="character" w:customStyle="1" w:styleId="CharChar1">
    <w:name w:val="Char Char1"/>
    <w:uiPriority w:val="99"/>
    <w:semiHidden/>
    <w:rsid w:val="003F6AB1"/>
    <w:rPr>
      <w:rFonts w:ascii="Arial" w:hAnsi="Arial" w:cs="Arial"/>
      <w:color w:val="000000"/>
      <w:lang w:val="en-GB"/>
    </w:rPr>
  </w:style>
  <w:style w:type="character" w:customStyle="1" w:styleId="apple-converted-space">
    <w:name w:val="apple-converted-space"/>
    <w:basedOn w:val="DefaultParagraphFont"/>
    <w:rsid w:val="001137F3"/>
  </w:style>
  <w:style w:type="paragraph" w:styleId="Subtitle">
    <w:name w:val="Subtitle"/>
    <w:basedOn w:val="Normal"/>
    <w:next w:val="Normal"/>
    <w:link w:val="SubtitleChar"/>
    <w:qFormat/>
    <w:locked/>
    <w:rsid w:val="002A0B53"/>
    <w:pPr>
      <w:numPr>
        <w:ilvl w:val="1"/>
      </w:numPr>
      <w:spacing w:after="200" w:line="276" w:lineRule="auto"/>
    </w:pPr>
    <w:rPr>
      <w:rFonts w:ascii="Cambria" w:hAnsi="Cambria"/>
      <w:b w:val="0"/>
      <w:bCs w:val="0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rsid w:val="002A0B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0579"/>
    <w:rPr>
      <w:rFonts w:ascii="Calibri" w:eastAsia="Calibri" w:hAnsi="Calibri"/>
      <w:b w:val="0"/>
      <w:bCs w:val="0"/>
      <w:color w:val="auto"/>
      <w:sz w:val="22"/>
      <w:szCs w:val="21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0579"/>
    <w:rPr>
      <w:rFonts w:ascii="Calibri" w:eastAsia="Calibri" w:hAnsi="Calibri" w:cs="Times New Roman"/>
      <w:szCs w:val="21"/>
      <w:lang w:val="el-GR"/>
    </w:rPr>
  </w:style>
  <w:style w:type="character" w:customStyle="1" w:styleId="FootnoteTextChar1">
    <w:name w:val="Footnote Text Char1"/>
    <w:basedOn w:val="DefaultParagraphFont"/>
    <w:semiHidden/>
    <w:locked/>
    <w:rsid w:val="002A323D"/>
    <w:rPr>
      <w:rFonts w:eastAsia="Times New Roman"/>
      <w:lang w:val="en-US" w:eastAsia="en-US"/>
    </w:rPr>
  </w:style>
  <w:style w:type="character" w:styleId="Emphasis">
    <w:name w:val="Emphasis"/>
    <w:basedOn w:val="DefaultParagraphFont"/>
    <w:qFormat/>
    <w:locked/>
    <w:rsid w:val="000D70F3"/>
    <w:rPr>
      <w:i/>
      <w:iCs/>
    </w:rPr>
  </w:style>
  <w:style w:type="table" w:customStyle="1" w:styleId="TableGrid1">
    <w:name w:val="Table Grid1"/>
    <w:basedOn w:val="TableNormal"/>
    <w:next w:val="TableGrid"/>
    <w:rsid w:val="00E27309"/>
    <w:pPr>
      <w:spacing w:after="200" w:line="276" w:lineRule="auto"/>
    </w:pPr>
    <w:rPr>
      <w:rFonts w:ascii="Calibri" w:eastAsia="MS Mincho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20%20registered%20unemployed%20-%20monthly\April%202020%20n\Graphs%20April%202020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20%20registered%20unemployed%20-%20monthly\April%202020%20n\Graphs%20April%202020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20%20registered%20unemployed%20-%20monthly\April%202020%20n\Graphs%20April%202020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20%20registered%20unemployed%20-%20monthly\April%202020%20n\Graphs%20April%202020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20%20registered%20unemployed%20-%20monthly\April%202020%20n\Graphs%20April%202020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20%20registered%20unemployed%20-%20monthly\April%202020%20n\Graphs%20April%202020.xlsx" TargetMode="External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20%20registered%20unemployed%20-%20monthly\April%202020%20n\Graphs%20April%202020.xlsx" TargetMode="External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l-GR"/>
              <a:t>Διακύμανση του αριθμού των ανέργων </a:t>
            </a:r>
            <a:endParaRPr lang="en-US"/>
          </a:p>
          <a:p>
            <a:pPr>
              <a:defRPr/>
            </a:pPr>
            <a:r>
              <a:rPr lang="el-GR"/>
              <a:t>(σύνολο και κατά φύλο) τους τελευταίους 12 μήνες </a:t>
            </a:r>
            <a:endParaRPr lang="en-US"/>
          </a:p>
        </c:rich>
      </c:tx>
      <c:layout>
        <c:manualLayout>
          <c:xMode val="edge"/>
          <c:yMode val="edge"/>
          <c:x val="0.19477272727272718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3802857976086322"/>
          <c:y val="0.17228464419475656"/>
          <c:w val="0.66662564401672153"/>
          <c:h val="0.46738476510660987"/>
        </c:manualLayout>
      </c:layout>
      <c:lineChart>
        <c:grouping val="standard"/>
        <c:varyColors val="0"/>
        <c:ser>
          <c:idx val="2"/>
          <c:order val="0"/>
          <c:tx>
            <c:strRef>
              <c:f>'total and gender '!$D$1</c:f>
              <c:strCache>
                <c:ptCount val="1"/>
                <c:pt idx="0">
                  <c:v>Άντρες</c:v>
                </c:pt>
              </c:strCache>
            </c:strRef>
          </c:tx>
          <c:cat>
            <c:multiLvlStrRef>
              <c:f>'total and gender '!$A$29:$B$41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2019</c:v>
                  </c:pt>
                  <c:pt idx="9">
                    <c:v>2020</c:v>
                  </c:pt>
                </c:lvl>
              </c:multiLvlStrCache>
            </c:multiLvlStrRef>
          </c:cat>
          <c:val>
            <c:numRef>
              <c:f>'total and gender '!$D$29:$D$41</c:f>
              <c:numCache>
                <c:formatCode>#,##0</c:formatCode>
                <c:ptCount val="13"/>
                <c:pt idx="0">
                  <c:v>9443</c:v>
                </c:pt>
                <c:pt idx="1">
                  <c:v>8053</c:v>
                </c:pt>
                <c:pt idx="2">
                  <c:v>7968</c:v>
                </c:pt>
                <c:pt idx="3">
                  <c:v>7975</c:v>
                </c:pt>
                <c:pt idx="4">
                  <c:v>7739</c:v>
                </c:pt>
                <c:pt idx="5">
                  <c:v>7518</c:v>
                </c:pt>
                <c:pt idx="6">
                  <c:v>7491</c:v>
                </c:pt>
                <c:pt idx="7">
                  <c:v>10842</c:v>
                </c:pt>
                <c:pt idx="8">
                  <c:v>11144</c:v>
                </c:pt>
                <c:pt idx="9">
                  <c:v>11522</c:v>
                </c:pt>
                <c:pt idx="10">
                  <c:v>11203</c:v>
                </c:pt>
                <c:pt idx="11">
                  <c:v>11658</c:v>
                </c:pt>
                <c:pt idx="12">
                  <c:v>12774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'total and gender '!$E$1</c:f>
              <c:strCache>
                <c:ptCount val="1"/>
                <c:pt idx="0">
                  <c:v>Γυναίκες</c:v>
                </c:pt>
              </c:strCache>
            </c:strRef>
          </c:tx>
          <c:cat>
            <c:multiLvlStrRef>
              <c:f>'total and gender '!$A$29:$B$41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2019</c:v>
                  </c:pt>
                  <c:pt idx="9">
                    <c:v>2020</c:v>
                  </c:pt>
                </c:lvl>
              </c:multiLvlStrCache>
            </c:multiLvlStrRef>
          </c:cat>
          <c:val>
            <c:numRef>
              <c:f>'total and gender '!$E$29:$E$41</c:f>
              <c:numCache>
                <c:formatCode>#,##0</c:formatCode>
                <c:ptCount val="13"/>
                <c:pt idx="0">
                  <c:v>10872</c:v>
                </c:pt>
                <c:pt idx="1">
                  <c:v>9554</c:v>
                </c:pt>
                <c:pt idx="2">
                  <c:v>10992</c:v>
                </c:pt>
                <c:pt idx="3">
                  <c:v>12607</c:v>
                </c:pt>
                <c:pt idx="4">
                  <c:v>12144</c:v>
                </c:pt>
                <c:pt idx="5">
                  <c:v>9450</c:v>
                </c:pt>
                <c:pt idx="6">
                  <c:v>9053</c:v>
                </c:pt>
                <c:pt idx="7">
                  <c:v>13653</c:v>
                </c:pt>
                <c:pt idx="8">
                  <c:v>14141</c:v>
                </c:pt>
                <c:pt idx="9">
                  <c:v>14692</c:v>
                </c:pt>
                <c:pt idx="10">
                  <c:v>14417</c:v>
                </c:pt>
                <c:pt idx="11">
                  <c:v>14695</c:v>
                </c:pt>
                <c:pt idx="12">
                  <c:v>15817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'total and gender '!$C$1</c:f>
              <c:strCache>
                <c:ptCount val="1"/>
                <c:pt idx="0">
                  <c:v>Σύνολο</c:v>
                </c:pt>
              </c:strCache>
            </c:strRef>
          </c:tx>
          <c:cat>
            <c:multiLvlStrRef>
              <c:f>'total and gender '!$A$29:$B$41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2019</c:v>
                  </c:pt>
                  <c:pt idx="9">
                    <c:v>2020</c:v>
                  </c:pt>
                </c:lvl>
              </c:multiLvlStrCache>
            </c:multiLvlStrRef>
          </c:cat>
          <c:val>
            <c:numRef>
              <c:f>'total and gender '!$C$29:$C$41</c:f>
              <c:numCache>
                <c:formatCode>#,##0</c:formatCode>
                <c:ptCount val="13"/>
                <c:pt idx="0">
                  <c:v>20315</c:v>
                </c:pt>
                <c:pt idx="1">
                  <c:v>17607</c:v>
                </c:pt>
                <c:pt idx="2">
                  <c:v>18960</c:v>
                </c:pt>
                <c:pt idx="3">
                  <c:v>20582</c:v>
                </c:pt>
                <c:pt idx="4">
                  <c:v>19883</c:v>
                </c:pt>
                <c:pt idx="5">
                  <c:v>16968</c:v>
                </c:pt>
                <c:pt idx="6">
                  <c:v>16544</c:v>
                </c:pt>
                <c:pt idx="7">
                  <c:v>24495</c:v>
                </c:pt>
                <c:pt idx="8">
                  <c:v>25285</c:v>
                </c:pt>
                <c:pt idx="9">
                  <c:v>26214</c:v>
                </c:pt>
                <c:pt idx="10">
                  <c:v>25620</c:v>
                </c:pt>
                <c:pt idx="11">
                  <c:v>26353</c:v>
                </c:pt>
                <c:pt idx="12">
                  <c:v>28591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6828928"/>
        <c:axId val="218145536"/>
      </c:lineChart>
      <c:catAx>
        <c:axId val="216828928"/>
        <c:scaling>
          <c:orientation val="minMax"/>
        </c:scaling>
        <c:delete val="0"/>
        <c:axPos val="b"/>
        <c:numFmt formatCode="#,##0" sourceLinked="1"/>
        <c:majorTickMark val="out"/>
        <c:minorTickMark val="none"/>
        <c:tickLblPos val="nextTo"/>
        <c:crossAx val="218145536"/>
        <c:crosses val="autoZero"/>
        <c:auto val="1"/>
        <c:lblAlgn val="ctr"/>
        <c:lblOffset val="100"/>
        <c:noMultiLvlLbl val="0"/>
      </c:catAx>
      <c:valAx>
        <c:axId val="218145536"/>
        <c:scaling>
          <c:orientation val="minMax"/>
          <c:max val="40000"/>
          <c:min val="500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16828928"/>
        <c:crosses val="autoZero"/>
        <c:crossBetween val="between"/>
        <c:majorUnit val="5000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900"/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ανέργων </a:t>
            </a:r>
          </a:p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κατά επαρχία τους τελευταίους 12 μήνες </a:t>
            </a:r>
            <a:endParaRPr lang="el-GR"/>
          </a:p>
        </c:rich>
      </c:tx>
      <c:layout>
        <c:manualLayout>
          <c:xMode val="edge"/>
          <c:yMode val="edge"/>
          <c:x val="0.21978021978021994"/>
          <c:y val="3.703703703703705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597322444986022"/>
          <c:y val="0.20538788072088304"/>
          <c:w val="0.59589766663782462"/>
          <c:h val="0.30935426001043398"/>
        </c:manualLayout>
      </c:layout>
      <c:lineChart>
        <c:grouping val="standard"/>
        <c:varyColors val="0"/>
        <c:ser>
          <c:idx val="0"/>
          <c:order val="0"/>
          <c:tx>
            <c:strRef>
              <c:f>'επαρχία '!$A$3</c:f>
              <c:strCache>
                <c:ptCount val="1"/>
                <c:pt idx="0">
                  <c:v>ΛΕΥΚΩΣΙΑ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multiLvlStrRef>
              <c:f>'επαρχία '!$AC$1:$AO$2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2019</c:v>
                  </c:pt>
                  <c:pt idx="9">
                    <c:v>2020</c:v>
                  </c:pt>
                </c:lvl>
              </c:multiLvlStrCache>
            </c:multiLvlStrRef>
          </c:cat>
          <c:val>
            <c:numRef>
              <c:f>'επαρχία '!$AC$3:$AO$3</c:f>
              <c:numCache>
                <c:formatCode>General</c:formatCode>
                <c:ptCount val="13"/>
                <c:pt idx="0">
                  <c:v>7010</c:v>
                </c:pt>
                <c:pt idx="1">
                  <c:v>6929</c:v>
                </c:pt>
                <c:pt idx="2">
                  <c:v>7540</c:v>
                </c:pt>
                <c:pt idx="3">
                  <c:v>8179</c:v>
                </c:pt>
                <c:pt idx="4">
                  <c:v>7922</c:v>
                </c:pt>
                <c:pt idx="5">
                  <c:v>6840</c:v>
                </c:pt>
                <c:pt idx="6">
                  <c:v>6306</c:v>
                </c:pt>
                <c:pt idx="7">
                  <c:v>6231</c:v>
                </c:pt>
                <c:pt idx="8">
                  <c:v>5893</c:v>
                </c:pt>
                <c:pt idx="9">
                  <c:v>5943</c:v>
                </c:pt>
                <c:pt idx="10">
                  <c:v>5890</c:v>
                </c:pt>
                <c:pt idx="11">
                  <c:v>6416</c:v>
                </c:pt>
                <c:pt idx="12">
                  <c:v>7143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'επαρχία '!$A$4</c:f>
              <c:strCache>
                <c:ptCount val="1"/>
                <c:pt idx="0">
                  <c:v>ΑΜΜΟΧΩΣΤΟΣ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multiLvlStrRef>
              <c:f>'επαρχία '!$AC$1:$AO$2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2019</c:v>
                  </c:pt>
                  <c:pt idx="9">
                    <c:v>2020</c:v>
                  </c:pt>
                </c:lvl>
              </c:multiLvlStrCache>
            </c:multiLvlStrRef>
          </c:cat>
          <c:val>
            <c:numRef>
              <c:f>'επαρχία '!$AC$4:$AO$4</c:f>
              <c:numCache>
                <c:formatCode>General</c:formatCode>
                <c:ptCount val="13"/>
                <c:pt idx="0">
                  <c:v>2030</c:v>
                </c:pt>
                <c:pt idx="1">
                  <c:v>570</c:v>
                </c:pt>
                <c:pt idx="2">
                  <c:v>567</c:v>
                </c:pt>
                <c:pt idx="3">
                  <c:v>668</c:v>
                </c:pt>
                <c:pt idx="4">
                  <c:v>641</c:v>
                </c:pt>
                <c:pt idx="5">
                  <c:v>529</c:v>
                </c:pt>
                <c:pt idx="6">
                  <c:v>843</c:v>
                </c:pt>
                <c:pt idx="7">
                  <c:v>5679</c:v>
                </c:pt>
                <c:pt idx="8">
                  <c:v>6256</c:v>
                </c:pt>
                <c:pt idx="9">
                  <c:v>6524</c:v>
                </c:pt>
                <c:pt idx="10">
                  <c:v>6335</c:v>
                </c:pt>
                <c:pt idx="11">
                  <c:v>6162</c:v>
                </c:pt>
                <c:pt idx="12">
                  <c:v>6380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'επαρχία '!$A$5</c:f>
              <c:strCache>
                <c:ptCount val="1"/>
                <c:pt idx="0">
                  <c:v>ΛΑΡΝΑΚΑ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multiLvlStrRef>
              <c:f>'επαρχία '!$AC$1:$AO$2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2019</c:v>
                  </c:pt>
                  <c:pt idx="9">
                    <c:v>2020</c:v>
                  </c:pt>
                </c:lvl>
              </c:multiLvlStrCache>
            </c:multiLvlStrRef>
          </c:cat>
          <c:val>
            <c:numRef>
              <c:f>'επαρχία '!$AC$5:$AO$5</c:f>
              <c:numCache>
                <c:formatCode>General</c:formatCode>
                <c:ptCount val="13"/>
                <c:pt idx="0">
                  <c:v>3539</c:v>
                </c:pt>
                <c:pt idx="1">
                  <c:v>2955</c:v>
                </c:pt>
                <c:pt idx="2">
                  <c:v>3149</c:v>
                </c:pt>
                <c:pt idx="3">
                  <c:v>3369</c:v>
                </c:pt>
                <c:pt idx="4">
                  <c:v>3223</c:v>
                </c:pt>
                <c:pt idx="5">
                  <c:v>2762</c:v>
                </c:pt>
                <c:pt idx="6">
                  <c:v>2710</c:v>
                </c:pt>
                <c:pt idx="7">
                  <c:v>4139</c:v>
                </c:pt>
                <c:pt idx="8">
                  <c:v>4171</c:v>
                </c:pt>
                <c:pt idx="9">
                  <c:v>4433</c:v>
                </c:pt>
                <c:pt idx="10">
                  <c:v>4394</c:v>
                </c:pt>
                <c:pt idx="11">
                  <c:v>4527</c:v>
                </c:pt>
                <c:pt idx="12">
                  <c:v>4862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'επαρχία '!$A$6</c:f>
              <c:strCache>
                <c:ptCount val="1"/>
                <c:pt idx="0">
                  <c:v>ΛΕΜΕΣΟΣ</c:v>
                </c:pt>
              </c:strCache>
            </c:strRef>
          </c:tx>
          <c:marker>
            <c:symbol val="none"/>
          </c:marker>
          <c:cat>
            <c:multiLvlStrRef>
              <c:f>'επαρχία '!$AC$1:$AO$2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2019</c:v>
                  </c:pt>
                  <c:pt idx="9">
                    <c:v>2020</c:v>
                  </c:pt>
                </c:lvl>
              </c:multiLvlStrCache>
            </c:multiLvlStrRef>
          </c:cat>
          <c:val>
            <c:numRef>
              <c:f>'επαρχία '!$AC$6:$AO$6</c:f>
              <c:numCache>
                <c:formatCode>General</c:formatCode>
                <c:ptCount val="13"/>
                <c:pt idx="0">
                  <c:v>5250</c:v>
                </c:pt>
                <c:pt idx="1">
                  <c:v>5254</c:v>
                </c:pt>
                <c:pt idx="2">
                  <c:v>5837</c:v>
                </c:pt>
                <c:pt idx="3">
                  <c:v>6382</c:v>
                </c:pt>
                <c:pt idx="4">
                  <c:v>6153</c:v>
                </c:pt>
                <c:pt idx="5">
                  <c:v>5139</c:v>
                </c:pt>
                <c:pt idx="6">
                  <c:v>4922</c:v>
                </c:pt>
                <c:pt idx="7">
                  <c:v>5142</c:v>
                </c:pt>
                <c:pt idx="8">
                  <c:v>5061</c:v>
                </c:pt>
                <c:pt idx="9">
                  <c:v>5185</c:v>
                </c:pt>
                <c:pt idx="10">
                  <c:v>5114</c:v>
                </c:pt>
                <c:pt idx="11">
                  <c:v>5390</c:v>
                </c:pt>
                <c:pt idx="12">
                  <c:v>5992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'επαρχία '!$A$7</c:f>
              <c:strCache>
                <c:ptCount val="1"/>
                <c:pt idx="0">
                  <c:v>ΠΑΦΟΣ</c:v>
                </c:pt>
              </c:strCache>
            </c:strRef>
          </c:tx>
          <c:spPr>
            <a:ln>
              <a:prstDash val="lgDashDotDot"/>
            </a:ln>
          </c:spPr>
          <c:marker>
            <c:symbol val="none"/>
          </c:marker>
          <c:cat>
            <c:multiLvlStrRef>
              <c:f>'επαρχία '!$AC$1:$AO$2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2019</c:v>
                  </c:pt>
                  <c:pt idx="9">
                    <c:v>2020</c:v>
                  </c:pt>
                </c:lvl>
              </c:multiLvlStrCache>
            </c:multiLvlStrRef>
          </c:cat>
          <c:val>
            <c:numRef>
              <c:f>'επαρχία '!$AC$7:$AO$7</c:f>
              <c:numCache>
                <c:formatCode>General</c:formatCode>
                <c:ptCount val="13"/>
                <c:pt idx="0">
                  <c:v>2486</c:v>
                </c:pt>
                <c:pt idx="1">
                  <c:v>1899</c:v>
                </c:pt>
                <c:pt idx="2">
                  <c:v>1867</c:v>
                </c:pt>
                <c:pt idx="3">
                  <c:v>1984</c:v>
                </c:pt>
                <c:pt idx="4">
                  <c:v>1944</c:v>
                </c:pt>
                <c:pt idx="5">
                  <c:v>1697</c:v>
                </c:pt>
                <c:pt idx="6">
                  <c:v>1763</c:v>
                </c:pt>
                <c:pt idx="7">
                  <c:v>3304</c:v>
                </c:pt>
                <c:pt idx="8">
                  <c:v>3904</c:v>
                </c:pt>
                <c:pt idx="9">
                  <c:v>4129</c:v>
                </c:pt>
                <c:pt idx="10">
                  <c:v>3887</c:v>
                </c:pt>
                <c:pt idx="11">
                  <c:v>3858</c:v>
                </c:pt>
                <c:pt idx="12">
                  <c:v>4214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4393984"/>
        <c:axId val="214395520"/>
      </c:lineChart>
      <c:catAx>
        <c:axId val="214393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14395520"/>
        <c:crosses val="autoZero"/>
        <c:auto val="1"/>
        <c:lblAlgn val="ctr"/>
        <c:lblOffset val="100"/>
        <c:noMultiLvlLbl val="0"/>
      </c:catAx>
      <c:valAx>
        <c:axId val="214395520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14393984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72087917577105687"/>
          <c:y val="0.23211969516047828"/>
          <c:w val="0.27032967032967919"/>
          <c:h val="0.52525252525251731"/>
        </c:manualLayout>
      </c:layout>
      <c:overlay val="0"/>
      <c:txPr>
        <a:bodyPr/>
        <a:lstStyle/>
        <a:p>
          <a:pPr>
            <a:defRPr lang="el-GR"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 sz="1200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 sz="1200"/>
            </a:pPr>
            <a:r>
              <a:rPr lang="el-GR" sz="1200"/>
              <a:t>κατά οικονομική δραστηριότητα τους τελευταίους 12 μήνες </a:t>
            </a:r>
          </a:p>
        </c:rich>
      </c:tx>
      <c:layout>
        <c:manualLayout>
          <c:xMode val="edge"/>
          <c:yMode val="edge"/>
          <c:x val="0.1480770621216404"/>
          <c:y val="3.323267742263841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1815061578842"/>
          <c:y val="0.23867132922584067"/>
          <c:w val="0.59423137492428757"/>
          <c:h val="0.36253808153134937"/>
        </c:manualLayout>
      </c:layout>
      <c:lineChart>
        <c:grouping val="standard"/>
        <c:varyColors val="0"/>
        <c:ser>
          <c:idx val="2"/>
          <c:order val="0"/>
          <c:tx>
            <c:strRef>
              <c:f>'οικονομική '!$C$9</c:f>
              <c:strCache>
                <c:ptCount val="1"/>
                <c:pt idx="0">
                  <c:v>ΕΜΠΟΡΙΟ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multiLvlStrRef>
              <c:f>'οικονομική '!$AE$1:$AQ$2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2019</c:v>
                  </c:pt>
                  <c:pt idx="9">
                    <c:v>2020</c:v>
                  </c:pt>
                </c:lvl>
              </c:multiLvlStrCache>
            </c:multiLvlStrRef>
          </c:cat>
          <c:val>
            <c:numRef>
              <c:f>'οικονομική '!$AE$9:$AQ$9</c:f>
              <c:numCache>
                <c:formatCode>General</c:formatCode>
                <c:ptCount val="13"/>
                <c:pt idx="0">
                  <c:v>3970</c:v>
                </c:pt>
                <c:pt idx="1">
                  <c:v>3658</c:v>
                </c:pt>
                <c:pt idx="2">
                  <c:v>3564</c:v>
                </c:pt>
                <c:pt idx="3">
                  <c:v>3623</c:v>
                </c:pt>
                <c:pt idx="4">
                  <c:v>3586</c:v>
                </c:pt>
                <c:pt idx="5">
                  <c:v>3637</c:v>
                </c:pt>
                <c:pt idx="6">
                  <c:v>3610</c:v>
                </c:pt>
                <c:pt idx="7">
                  <c:v>4072</c:v>
                </c:pt>
                <c:pt idx="8">
                  <c:v>3969</c:v>
                </c:pt>
                <c:pt idx="9">
                  <c:v>4202</c:v>
                </c:pt>
                <c:pt idx="10">
                  <c:v>4212</c:v>
                </c:pt>
                <c:pt idx="11">
                  <c:v>4400</c:v>
                </c:pt>
                <c:pt idx="12">
                  <c:v>4898</c:v>
                </c:pt>
              </c:numCache>
            </c:numRef>
          </c:val>
          <c:smooth val="0"/>
        </c:ser>
        <c:ser>
          <c:idx val="3"/>
          <c:order val="1"/>
          <c:tx>
            <c:strRef>
              <c:f>'οικονομική '!$C$11</c:f>
              <c:strCache>
                <c:ptCount val="1"/>
                <c:pt idx="0">
                  <c:v>ΞΕΝΟΔΟΧΕΙΑ</c:v>
                </c:pt>
              </c:strCache>
            </c:strRef>
          </c:tx>
          <c:spPr>
            <a:ln cap="sq">
              <a:prstDash val="sysDot"/>
            </a:ln>
          </c:spPr>
          <c:marker>
            <c:symbol val="none"/>
          </c:marker>
          <c:cat>
            <c:multiLvlStrRef>
              <c:f>'οικονομική '!$AE$1:$AQ$2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2019</c:v>
                  </c:pt>
                  <c:pt idx="9">
                    <c:v>2020</c:v>
                  </c:pt>
                </c:lvl>
              </c:multiLvlStrCache>
            </c:multiLvlStrRef>
          </c:cat>
          <c:val>
            <c:numRef>
              <c:f>'οικονομική '!$AE$11:$AQ$11</c:f>
              <c:numCache>
                <c:formatCode>General</c:formatCode>
                <c:ptCount val="13"/>
                <c:pt idx="0">
                  <c:v>3672</c:v>
                </c:pt>
                <c:pt idx="1">
                  <c:v>2108</c:v>
                </c:pt>
                <c:pt idx="2">
                  <c:v>1972</c:v>
                </c:pt>
                <c:pt idx="3">
                  <c:v>1961</c:v>
                </c:pt>
                <c:pt idx="4">
                  <c:v>1872</c:v>
                </c:pt>
                <c:pt idx="5">
                  <c:v>1911</c:v>
                </c:pt>
                <c:pt idx="6">
                  <c:v>2319</c:v>
                </c:pt>
                <c:pt idx="7">
                  <c:v>8292</c:v>
                </c:pt>
                <c:pt idx="8">
                  <c:v>9290</c:v>
                </c:pt>
                <c:pt idx="9">
                  <c:v>9632</c:v>
                </c:pt>
                <c:pt idx="10">
                  <c:v>9214</c:v>
                </c:pt>
                <c:pt idx="11">
                  <c:v>9028</c:v>
                </c:pt>
                <c:pt idx="12">
                  <c:v>9457</c:v>
                </c:pt>
              </c:numCache>
            </c:numRef>
          </c:val>
          <c:smooth val="0"/>
        </c:ser>
        <c:ser>
          <c:idx val="4"/>
          <c:order val="2"/>
          <c:tx>
            <c:strRef>
              <c:f>'οικονομική '!$C$15</c:f>
              <c:strCache>
                <c:ptCount val="1"/>
                <c:pt idx="0">
                  <c:v>ΔΗΜΟΣΙΑ ΔΙΟΙΚ</c:v>
                </c:pt>
              </c:strCache>
            </c:strRef>
          </c:tx>
          <c:spPr>
            <a:ln cap="sq">
              <a:prstDash val="lgDashDotDot"/>
            </a:ln>
          </c:spPr>
          <c:marker>
            <c:symbol val="none"/>
          </c:marker>
          <c:cat>
            <c:multiLvlStrRef>
              <c:f>'οικονομική '!$AE$1:$AQ$2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2019</c:v>
                  </c:pt>
                  <c:pt idx="9">
                    <c:v>2020</c:v>
                  </c:pt>
                </c:lvl>
              </c:multiLvlStrCache>
            </c:multiLvlStrRef>
          </c:cat>
          <c:val>
            <c:numRef>
              <c:f>'οικονομική '!$AE$15:$AQ$15</c:f>
              <c:numCache>
                <c:formatCode>General</c:formatCode>
                <c:ptCount val="13"/>
                <c:pt idx="0">
                  <c:v>1261</c:v>
                </c:pt>
                <c:pt idx="1">
                  <c:v>1144</c:v>
                </c:pt>
                <c:pt idx="2">
                  <c:v>1777</c:v>
                </c:pt>
                <c:pt idx="3">
                  <c:v>2202</c:v>
                </c:pt>
                <c:pt idx="4">
                  <c:v>2125</c:v>
                </c:pt>
                <c:pt idx="5">
                  <c:v>1050</c:v>
                </c:pt>
                <c:pt idx="6">
                  <c:v>826</c:v>
                </c:pt>
                <c:pt idx="7">
                  <c:v>922</c:v>
                </c:pt>
                <c:pt idx="8">
                  <c:v>1069</c:v>
                </c:pt>
                <c:pt idx="9">
                  <c:v>1085</c:v>
                </c:pt>
                <c:pt idx="10">
                  <c:v>1003</c:v>
                </c:pt>
                <c:pt idx="11">
                  <c:v>1034</c:v>
                </c:pt>
                <c:pt idx="12">
                  <c:v>1149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6084864"/>
        <c:axId val="216086400"/>
      </c:lineChart>
      <c:catAx>
        <c:axId val="216084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216086400"/>
        <c:crosses val="autoZero"/>
        <c:auto val="1"/>
        <c:lblAlgn val="ctr"/>
        <c:lblOffset val="100"/>
        <c:noMultiLvlLbl val="0"/>
      </c:catAx>
      <c:valAx>
        <c:axId val="216086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216084864"/>
        <c:crosses val="autoZero"/>
        <c:crossBetween val="between"/>
        <c:majorUnit val="2000"/>
      </c:valAx>
    </c:plotArea>
    <c:legend>
      <c:legendPos val="r"/>
      <c:layout>
        <c:manualLayout>
          <c:xMode val="edge"/>
          <c:yMode val="edge"/>
          <c:x val="0.73251640986054356"/>
          <c:y val="0.25792999326411753"/>
          <c:w val="0.25192331347967767"/>
          <c:h val="0.36253829915605801"/>
        </c:manualLayout>
      </c:layout>
      <c:overlay val="0"/>
      <c:txPr>
        <a:bodyPr/>
        <a:lstStyle/>
        <a:p>
          <a:pPr>
            <a:defRPr lang="el-GR" sz="900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
κατά επαγγελματική κατηγορία τους τελευταίους 12 μήνες </a:t>
            </a:r>
          </a:p>
        </c:rich>
      </c:tx>
      <c:layout>
        <c:manualLayout>
          <c:xMode val="edge"/>
          <c:yMode val="edge"/>
          <c:x val="0.12757973733583489"/>
          <c:y val="3.519061583577713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530415170899162"/>
          <c:y val="0.1801925785669754"/>
          <c:w val="0.60587126136511116"/>
          <c:h val="0.42948852378970986"/>
        </c:manualLayout>
      </c:layout>
      <c:lineChart>
        <c:grouping val="standard"/>
        <c:varyColors val="0"/>
        <c:ser>
          <c:idx val="0"/>
          <c:order val="0"/>
          <c:tx>
            <c:strRef>
              <c:f>επάγγελμα!$B$4</c:f>
              <c:strCache>
                <c:ptCount val="1"/>
                <c:pt idx="0">
                  <c:v>ΠΡΟΣΟΝΤΟΥΧΟΙ/  ΕΙΔΙΚΟΙ</c:v>
                </c:pt>
              </c:strCache>
            </c:strRef>
          </c:tx>
          <c:cat>
            <c:multiLvlStrRef>
              <c:f>επάγγελμα!$AD$1:$AP$2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Σεπτέμβρης</c:v>
                  </c:pt>
                  <c:pt idx="6">
                    <c:v>Οκτώβρης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2019</c:v>
                  </c:pt>
                  <c:pt idx="9">
                    <c:v>2020</c:v>
                  </c:pt>
                </c:lvl>
              </c:multiLvlStrCache>
            </c:multiLvlStrRef>
          </c:cat>
          <c:val>
            <c:numRef>
              <c:f>επάγγελμα!$AD$4:$AP$4</c:f>
              <c:numCache>
                <c:formatCode>General</c:formatCode>
                <c:ptCount val="13"/>
                <c:pt idx="0">
                  <c:v>1782</c:v>
                </c:pt>
                <c:pt idx="1">
                  <c:v>1813</c:v>
                </c:pt>
                <c:pt idx="2">
                  <c:v>2731</c:v>
                </c:pt>
                <c:pt idx="3">
                  <c:v>3596</c:v>
                </c:pt>
                <c:pt idx="4">
                  <c:v>3481</c:v>
                </c:pt>
                <c:pt idx="5">
                  <c:v>2104</c:v>
                </c:pt>
                <c:pt idx="6">
                  <c:v>1735</c:v>
                </c:pt>
                <c:pt idx="7">
                  <c:v>1719</c:v>
                </c:pt>
                <c:pt idx="8">
                  <c:v>1724</c:v>
                </c:pt>
                <c:pt idx="9">
                  <c:v>1702</c:v>
                </c:pt>
                <c:pt idx="10">
                  <c:v>1728</c:v>
                </c:pt>
                <c:pt idx="11">
                  <c:v>1918</c:v>
                </c:pt>
                <c:pt idx="12">
                  <c:v>2246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επάγγελμα!$B$6</c:f>
              <c:strCache>
                <c:ptCount val="1"/>
                <c:pt idx="0">
                  <c:v>ΓΡΑΦΕΙΣ/ΔΑΚΤΥΛΟΓΡΑΦΟΙ</c:v>
                </c:pt>
              </c:strCache>
            </c:strRef>
          </c:tx>
          <c:marker>
            <c:symbol val="none"/>
          </c:marker>
          <c:cat>
            <c:multiLvlStrRef>
              <c:f>επάγγελμα!$AD$1:$AP$2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Σεπτέμβρης</c:v>
                  </c:pt>
                  <c:pt idx="6">
                    <c:v>Οκτώβρης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2019</c:v>
                  </c:pt>
                  <c:pt idx="9">
                    <c:v>2020</c:v>
                  </c:pt>
                </c:lvl>
              </c:multiLvlStrCache>
            </c:multiLvlStrRef>
          </c:cat>
          <c:val>
            <c:numRef>
              <c:f>επάγγελμα!$AD$6:$AP$6</c:f>
              <c:numCache>
                <c:formatCode>General</c:formatCode>
                <c:ptCount val="13"/>
                <c:pt idx="0">
                  <c:v>3556</c:v>
                </c:pt>
                <c:pt idx="1">
                  <c:v>3199</c:v>
                </c:pt>
                <c:pt idx="2">
                  <c:v>3112</c:v>
                </c:pt>
                <c:pt idx="3">
                  <c:v>3417</c:v>
                </c:pt>
                <c:pt idx="4">
                  <c:v>3236</c:v>
                </c:pt>
                <c:pt idx="5">
                  <c:v>2890</c:v>
                </c:pt>
                <c:pt idx="6">
                  <c:v>2865</c:v>
                </c:pt>
                <c:pt idx="7">
                  <c:v>3843</c:v>
                </c:pt>
                <c:pt idx="8">
                  <c:v>3914</c:v>
                </c:pt>
                <c:pt idx="9">
                  <c:v>3980</c:v>
                </c:pt>
                <c:pt idx="10">
                  <c:v>3859</c:v>
                </c:pt>
                <c:pt idx="11">
                  <c:v>4001</c:v>
                </c:pt>
                <c:pt idx="12">
                  <c:v>4325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επάγγελμα!$B$7</c:f>
              <c:strCache>
                <c:ptCount val="1"/>
                <c:pt idx="0">
                  <c:v>ΥΠΑΛΛΗΛΟΙ ΥΠΗΡΕΣΙΩΝ</c:v>
                </c:pt>
              </c:strCache>
            </c:strRef>
          </c:tx>
          <c:marker>
            <c:symbol val="x"/>
            <c:size val="5"/>
          </c:marker>
          <c:cat>
            <c:multiLvlStrRef>
              <c:f>επάγγελμα!$AD$1:$AP$2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Σεπτέμβρης</c:v>
                  </c:pt>
                  <c:pt idx="6">
                    <c:v>Οκτώβρης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2019</c:v>
                  </c:pt>
                  <c:pt idx="9">
                    <c:v>2020</c:v>
                  </c:pt>
                </c:lvl>
              </c:multiLvlStrCache>
            </c:multiLvlStrRef>
          </c:cat>
          <c:val>
            <c:numRef>
              <c:f>επάγγελμα!$AD$7:$AP$7</c:f>
              <c:numCache>
                <c:formatCode>General</c:formatCode>
                <c:ptCount val="13"/>
                <c:pt idx="0">
                  <c:v>5094</c:v>
                </c:pt>
                <c:pt idx="1">
                  <c:v>3952</c:v>
                </c:pt>
                <c:pt idx="2">
                  <c:v>4425</c:v>
                </c:pt>
                <c:pt idx="3">
                  <c:v>4589</c:v>
                </c:pt>
                <c:pt idx="4">
                  <c:v>4551</c:v>
                </c:pt>
                <c:pt idx="5">
                  <c:v>3809</c:v>
                </c:pt>
                <c:pt idx="6">
                  <c:v>3896</c:v>
                </c:pt>
                <c:pt idx="7">
                  <c:v>7692</c:v>
                </c:pt>
                <c:pt idx="8">
                  <c:v>8117</c:v>
                </c:pt>
                <c:pt idx="9">
                  <c:v>8556</c:v>
                </c:pt>
                <c:pt idx="10">
                  <c:v>8305</c:v>
                </c:pt>
                <c:pt idx="11">
                  <c:v>8454</c:v>
                </c:pt>
                <c:pt idx="12">
                  <c:v>9159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επάγγελμα!$B$9</c:f>
              <c:strCache>
                <c:ptCount val="1"/>
                <c:pt idx="0">
                  <c:v>ΤΕΧΝΙΤΕΣ ΠΑΡΑΓΩΓΗΣ</c:v>
                </c:pt>
              </c:strCache>
            </c:strRef>
          </c:tx>
          <c:spPr>
            <a:ln>
              <a:prstDash val="lgDashDot"/>
            </a:ln>
          </c:spPr>
          <c:marker>
            <c:symbol val="none"/>
          </c:marker>
          <c:cat>
            <c:multiLvlStrRef>
              <c:f>επάγγελμα!$AD$1:$AP$2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Σεπτέμβρης</c:v>
                  </c:pt>
                  <c:pt idx="6">
                    <c:v>Οκτώβρης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2019</c:v>
                  </c:pt>
                  <c:pt idx="9">
                    <c:v>2020</c:v>
                  </c:pt>
                </c:lvl>
              </c:multiLvlStrCache>
            </c:multiLvlStrRef>
          </c:cat>
          <c:val>
            <c:numRef>
              <c:f>επάγγελμα!$AD$9:$AP$9</c:f>
              <c:numCache>
                <c:formatCode>General</c:formatCode>
                <c:ptCount val="13"/>
                <c:pt idx="0">
                  <c:v>1323</c:v>
                </c:pt>
                <c:pt idx="1">
                  <c:v>1260</c:v>
                </c:pt>
                <c:pt idx="2">
                  <c:v>1211</c:v>
                </c:pt>
                <c:pt idx="3">
                  <c:v>1173</c:v>
                </c:pt>
                <c:pt idx="4">
                  <c:v>1111</c:v>
                </c:pt>
                <c:pt idx="5">
                  <c:v>1097</c:v>
                </c:pt>
                <c:pt idx="6">
                  <c:v>1068</c:v>
                </c:pt>
                <c:pt idx="7">
                  <c:v>1144</c:v>
                </c:pt>
                <c:pt idx="8">
                  <c:v>1155</c:v>
                </c:pt>
                <c:pt idx="9">
                  <c:v>1179</c:v>
                </c:pt>
                <c:pt idx="10">
                  <c:v>1145</c:v>
                </c:pt>
                <c:pt idx="11">
                  <c:v>1258</c:v>
                </c:pt>
                <c:pt idx="12">
                  <c:v>1405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επάγγελμα!$B$11</c:f>
              <c:strCache>
                <c:ptCount val="1"/>
                <c:pt idx="0">
                  <c:v>ΑΝΕΙΔΙΚΕΥΤΟΙ ΕΡΓΑΤΕΣ</c:v>
                </c:pt>
              </c:strCache>
            </c:strRef>
          </c:tx>
          <c:marker>
            <c:symbol val="square"/>
            <c:size val="5"/>
            <c:spPr>
              <a:ln>
                <a:gradFill>
                  <a:gsLst>
                    <a:gs pos="0">
                      <a:schemeClr val="accent1">
                        <a:tint val="66000"/>
                        <a:satMod val="160000"/>
                      </a:schemeClr>
                    </a:gs>
                    <a:gs pos="50000">
                      <a:schemeClr val="accent1">
                        <a:tint val="44500"/>
                        <a:satMod val="160000"/>
                      </a:schemeClr>
                    </a:gs>
                    <a:gs pos="100000">
                      <a:schemeClr val="accent1">
                        <a:tint val="23500"/>
                        <a:satMod val="160000"/>
                      </a:schemeClr>
                    </a:gs>
                  </a:gsLst>
                  <a:lin ang="5400000" scaled="0"/>
                </a:gradFill>
                <a:prstDash val="sysDash"/>
              </a:ln>
            </c:spPr>
          </c:marker>
          <c:cat>
            <c:multiLvlStrRef>
              <c:f>επάγγελμα!$AD$1:$AP$2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Σεπτέμβρης</c:v>
                  </c:pt>
                  <c:pt idx="6">
                    <c:v>Οκτώβρης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2019</c:v>
                  </c:pt>
                  <c:pt idx="9">
                    <c:v>2020</c:v>
                  </c:pt>
                </c:lvl>
              </c:multiLvlStrCache>
            </c:multiLvlStrRef>
          </c:cat>
          <c:val>
            <c:numRef>
              <c:f>επάγγελμα!$AD$11:$AP$11</c:f>
              <c:numCache>
                <c:formatCode>General</c:formatCode>
                <c:ptCount val="13"/>
                <c:pt idx="0">
                  <c:v>3981</c:v>
                </c:pt>
                <c:pt idx="1">
                  <c:v>3240</c:v>
                </c:pt>
                <c:pt idx="2">
                  <c:v>3242</c:v>
                </c:pt>
                <c:pt idx="3">
                  <c:v>3539</c:v>
                </c:pt>
                <c:pt idx="4">
                  <c:v>3312</c:v>
                </c:pt>
                <c:pt idx="5">
                  <c:v>3094</c:v>
                </c:pt>
                <c:pt idx="6">
                  <c:v>3242</c:v>
                </c:pt>
                <c:pt idx="7">
                  <c:v>5690</c:v>
                </c:pt>
                <c:pt idx="8">
                  <c:v>6012</c:v>
                </c:pt>
                <c:pt idx="9">
                  <c:v>6279</c:v>
                </c:pt>
                <c:pt idx="10">
                  <c:v>6104</c:v>
                </c:pt>
                <c:pt idx="11">
                  <c:v>6062</c:v>
                </c:pt>
                <c:pt idx="12">
                  <c:v>6433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6105728"/>
        <c:axId val="216107648"/>
      </c:lineChart>
      <c:catAx>
        <c:axId val="216105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216107648"/>
        <c:crosses val="autoZero"/>
        <c:auto val="1"/>
        <c:lblAlgn val="ctr"/>
        <c:lblOffset val="100"/>
        <c:noMultiLvlLbl val="0"/>
      </c:catAx>
      <c:valAx>
        <c:axId val="2161076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216105728"/>
        <c:crosses val="autoZero"/>
        <c:crossBetween val="between"/>
        <c:majorUnit val="2000"/>
      </c:valAx>
    </c:plotArea>
    <c:legend>
      <c:legendPos val="r"/>
      <c:layout>
        <c:manualLayout>
          <c:xMode val="edge"/>
          <c:yMode val="edge"/>
          <c:x val="0.73358358387019817"/>
          <c:y val="0.2303448566255421"/>
          <c:w val="0.25156982956867735"/>
          <c:h val="0.5897522340499225"/>
        </c:manualLayout>
      </c:layout>
      <c:overlay val="0"/>
      <c:txPr>
        <a:bodyPr/>
        <a:lstStyle/>
        <a:p>
          <a:pPr>
            <a:defRPr lang="el-GR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ανέργων </a:t>
            </a:r>
          </a:p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κατά ηλικία τους τελευταίους 12 μήνες </a:t>
            </a:r>
            <a:endParaRPr lang="el-GR"/>
          </a:p>
        </c:rich>
      </c:tx>
      <c:layout>
        <c:manualLayout>
          <c:xMode val="edge"/>
          <c:yMode val="edge"/>
          <c:x val="0.24324324324324537"/>
          <c:y val="3.691275167785235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331658126933721"/>
          <c:y val="0.20916028113935603"/>
          <c:w val="0.65817621421175565"/>
          <c:h val="0.34908411858353777"/>
        </c:manualLayout>
      </c:layout>
      <c:lineChart>
        <c:grouping val="standard"/>
        <c:varyColors val="0"/>
        <c:ser>
          <c:idx val="1"/>
          <c:order val="0"/>
          <c:tx>
            <c:strRef>
              <c:f>'ηλικία '!$A$3</c:f>
              <c:strCache>
                <c:ptCount val="1"/>
                <c:pt idx="0">
                  <c:v>15-24</c:v>
                </c:pt>
              </c:strCache>
            </c:strRef>
          </c:tx>
          <c:cat>
            <c:multiLvlStrRef>
              <c:f>'ηλικία '!$AC$1:$AO$2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2019</c:v>
                  </c:pt>
                  <c:pt idx="9">
                    <c:v>2020</c:v>
                  </c:pt>
                </c:lvl>
              </c:multiLvlStrCache>
            </c:multiLvlStrRef>
          </c:cat>
          <c:val>
            <c:numRef>
              <c:f>'ηλικία '!$AC$3:$AO$3</c:f>
              <c:numCache>
                <c:formatCode>#,##0</c:formatCode>
                <c:ptCount val="13"/>
                <c:pt idx="0">
                  <c:v>1065</c:v>
                </c:pt>
                <c:pt idx="1">
                  <c:v>855</c:v>
                </c:pt>
                <c:pt idx="2">
                  <c:v>865</c:v>
                </c:pt>
                <c:pt idx="3">
                  <c:v>937</c:v>
                </c:pt>
                <c:pt idx="4">
                  <c:v>950</c:v>
                </c:pt>
                <c:pt idx="5">
                  <c:v>960</c:v>
                </c:pt>
                <c:pt idx="6">
                  <c:v>919</c:v>
                </c:pt>
                <c:pt idx="7">
                  <c:v>1537</c:v>
                </c:pt>
                <c:pt idx="8">
                  <c:v>1503</c:v>
                </c:pt>
                <c:pt idx="9">
                  <c:v>1553</c:v>
                </c:pt>
                <c:pt idx="10">
                  <c:v>1509</c:v>
                </c:pt>
                <c:pt idx="11">
                  <c:v>1555</c:v>
                </c:pt>
                <c:pt idx="12">
                  <c:v>1729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'ηλικία '!$A$4</c:f>
              <c:strCache>
                <c:ptCount val="1"/>
                <c:pt idx="0">
                  <c:v>25-29</c:v>
                </c:pt>
              </c:strCache>
            </c:strRef>
          </c:tx>
          <c:marker>
            <c:symbol val="none"/>
          </c:marker>
          <c:cat>
            <c:multiLvlStrRef>
              <c:f>'ηλικία '!$AC$1:$AO$2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2019</c:v>
                  </c:pt>
                  <c:pt idx="9">
                    <c:v>2020</c:v>
                  </c:pt>
                </c:lvl>
              </c:multiLvlStrCache>
            </c:multiLvlStrRef>
          </c:cat>
          <c:val>
            <c:numRef>
              <c:f>'ηλικία '!$AC$4:$AO$4</c:f>
              <c:numCache>
                <c:formatCode>#,##0</c:formatCode>
                <c:ptCount val="13"/>
                <c:pt idx="0">
                  <c:v>2512</c:v>
                </c:pt>
                <c:pt idx="1">
                  <c:v>2089</c:v>
                </c:pt>
                <c:pt idx="2">
                  <c:v>2260</c:v>
                </c:pt>
                <c:pt idx="3">
                  <c:v>2588</c:v>
                </c:pt>
                <c:pt idx="4">
                  <c:v>2528</c:v>
                </c:pt>
                <c:pt idx="5">
                  <c:v>2109</c:v>
                </c:pt>
                <c:pt idx="6">
                  <c:v>2022</c:v>
                </c:pt>
                <c:pt idx="7">
                  <c:v>2970</c:v>
                </c:pt>
                <c:pt idx="8">
                  <c:v>3082</c:v>
                </c:pt>
                <c:pt idx="9">
                  <c:v>3257</c:v>
                </c:pt>
                <c:pt idx="10">
                  <c:v>3191</c:v>
                </c:pt>
                <c:pt idx="11">
                  <c:v>3375</c:v>
                </c:pt>
                <c:pt idx="12">
                  <c:v>3820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'ηλικία '!$A$5</c:f>
              <c:strCache>
                <c:ptCount val="1"/>
                <c:pt idx="0">
                  <c:v>30-39</c:v>
                </c:pt>
              </c:strCache>
            </c:strRef>
          </c:tx>
          <c:marker>
            <c:symbol val="none"/>
          </c:marker>
          <c:cat>
            <c:multiLvlStrRef>
              <c:f>'ηλικία '!$AC$1:$AO$2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2019</c:v>
                  </c:pt>
                  <c:pt idx="9">
                    <c:v>2020</c:v>
                  </c:pt>
                </c:lvl>
              </c:multiLvlStrCache>
            </c:multiLvlStrRef>
          </c:cat>
          <c:val>
            <c:numRef>
              <c:f>'ηλικία '!$AC$5:$AO$5</c:f>
              <c:numCache>
                <c:formatCode>#,##0</c:formatCode>
                <c:ptCount val="13"/>
                <c:pt idx="0">
                  <c:v>5317</c:v>
                </c:pt>
                <c:pt idx="1">
                  <c:v>4649</c:v>
                </c:pt>
                <c:pt idx="2">
                  <c:v>5554</c:v>
                </c:pt>
                <c:pt idx="3">
                  <c:v>6199</c:v>
                </c:pt>
                <c:pt idx="4">
                  <c:v>5962</c:v>
                </c:pt>
                <c:pt idx="5">
                  <c:v>4687</c:v>
                </c:pt>
                <c:pt idx="6">
                  <c:v>4478</c:v>
                </c:pt>
                <c:pt idx="7">
                  <c:v>6427</c:v>
                </c:pt>
                <c:pt idx="8">
                  <c:v>6550</c:v>
                </c:pt>
                <c:pt idx="9">
                  <c:v>6759</c:v>
                </c:pt>
                <c:pt idx="10">
                  <c:v>6656</c:v>
                </c:pt>
                <c:pt idx="11">
                  <c:v>6990</c:v>
                </c:pt>
                <c:pt idx="12">
                  <c:v>7653</c:v>
                </c:pt>
              </c:numCache>
            </c:numRef>
          </c:val>
          <c:smooth val="0"/>
        </c:ser>
        <c:ser>
          <c:idx val="4"/>
          <c:order val="3"/>
          <c:tx>
            <c:strRef>
              <c:f>'ηλικία '!$A$6</c:f>
              <c:strCache>
                <c:ptCount val="1"/>
                <c:pt idx="0">
                  <c:v>40-49</c:v>
                </c:pt>
              </c:strCache>
            </c:strRef>
          </c:tx>
          <c:cat>
            <c:multiLvlStrRef>
              <c:f>'ηλικία '!$AC$1:$AO$2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2019</c:v>
                  </c:pt>
                  <c:pt idx="9">
                    <c:v>2020</c:v>
                  </c:pt>
                </c:lvl>
              </c:multiLvlStrCache>
            </c:multiLvlStrRef>
          </c:cat>
          <c:val>
            <c:numRef>
              <c:f>'ηλικία '!$AC$6:$AO$6</c:f>
              <c:numCache>
                <c:formatCode>#,##0</c:formatCode>
                <c:ptCount val="13"/>
                <c:pt idx="0">
                  <c:v>4088</c:v>
                </c:pt>
                <c:pt idx="1">
                  <c:v>3486</c:v>
                </c:pt>
                <c:pt idx="2">
                  <c:v>3710</c:v>
                </c:pt>
                <c:pt idx="3">
                  <c:v>4067</c:v>
                </c:pt>
                <c:pt idx="4">
                  <c:v>3895</c:v>
                </c:pt>
                <c:pt idx="5">
                  <c:v>3310</c:v>
                </c:pt>
                <c:pt idx="6">
                  <c:v>3293</c:v>
                </c:pt>
                <c:pt idx="7">
                  <c:v>5355</c:v>
                </c:pt>
                <c:pt idx="8">
                  <c:v>5646</c:v>
                </c:pt>
                <c:pt idx="9">
                  <c:v>5874</c:v>
                </c:pt>
                <c:pt idx="10">
                  <c:v>5700</c:v>
                </c:pt>
                <c:pt idx="11">
                  <c:v>5790</c:v>
                </c:pt>
                <c:pt idx="12">
                  <c:v>6252</c:v>
                </c:pt>
              </c:numCache>
            </c:numRef>
          </c:val>
          <c:smooth val="0"/>
        </c:ser>
        <c:ser>
          <c:idx val="0"/>
          <c:order val="4"/>
          <c:tx>
            <c:strRef>
              <c:f>'ηλικία '!$A$7</c:f>
              <c:strCache>
                <c:ptCount val="1"/>
                <c:pt idx="0">
                  <c:v>50-59</c:v>
                </c:pt>
              </c:strCache>
            </c:strRef>
          </c:tx>
          <c:cat>
            <c:multiLvlStrRef>
              <c:f>'ηλικία '!$AC$1:$AO$2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2019</c:v>
                  </c:pt>
                  <c:pt idx="9">
                    <c:v>2020</c:v>
                  </c:pt>
                </c:lvl>
              </c:multiLvlStrCache>
            </c:multiLvlStrRef>
          </c:cat>
          <c:val>
            <c:numRef>
              <c:f>'ηλικία '!$AC$7:$AO$7</c:f>
              <c:numCache>
                <c:formatCode>#,##0</c:formatCode>
                <c:ptCount val="13"/>
                <c:pt idx="0">
                  <c:v>4875</c:v>
                </c:pt>
                <c:pt idx="1">
                  <c:v>4277</c:v>
                </c:pt>
                <c:pt idx="2">
                  <c:v>4325</c:v>
                </c:pt>
                <c:pt idx="3">
                  <c:v>4524</c:v>
                </c:pt>
                <c:pt idx="4">
                  <c:v>4356</c:v>
                </c:pt>
                <c:pt idx="5">
                  <c:v>3846</c:v>
                </c:pt>
                <c:pt idx="6">
                  <c:v>3811</c:v>
                </c:pt>
                <c:pt idx="7">
                  <c:v>5640</c:v>
                </c:pt>
                <c:pt idx="8">
                  <c:v>5873</c:v>
                </c:pt>
                <c:pt idx="9">
                  <c:v>6042</c:v>
                </c:pt>
                <c:pt idx="10">
                  <c:v>5841</c:v>
                </c:pt>
                <c:pt idx="11">
                  <c:v>5839</c:v>
                </c:pt>
                <c:pt idx="12">
                  <c:v>6167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'ηλικία '!$A$8</c:f>
              <c:strCache>
                <c:ptCount val="1"/>
                <c:pt idx="0">
                  <c:v>60-64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multiLvlStrRef>
              <c:f>'ηλικία '!$AC$1:$AO$2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2019</c:v>
                  </c:pt>
                  <c:pt idx="9">
                    <c:v>2020</c:v>
                  </c:pt>
                </c:lvl>
              </c:multiLvlStrCache>
            </c:multiLvlStrRef>
          </c:cat>
          <c:val>
            <c:numRef>
              <c:f>'ηλικία '!$AC$8:$AO$8</c:f>
              <c:numCache>
                <c:formatCode>#,##0</c:formatCode>
                <c:ptCount val="13"/>
                <c:pt idx="0">
                  <c:v>2307</c:v>
                </c:pt>
                <c:pt idx="1">
                  <c:v>2115</c:v>
                </c:pt>
                <c:pt idx="2">
                  <c:v>2110</c:v>
                </c:pt>
                <c:pt idx="3">
                  <c:v>2132</c:v>
                </c:pt>
                <c:pt idx="4">
                  <c:v>2062</c:v>
                </c:pt>
                <c:pt idx="5">
                  <c:v>1924</c:v>
                </c:pt>
                <c:pt idx="6">
                  <c:v>1886</c:v>
                </c:pt>
                <c:pt idx="7">
                  <c:v>2393</c:v>
                </c:pt>
                <c:pt idx="8">
                  <c:v>2456</c:v>
                </c:pt>
                <c:pt idx="9">
                  <c:v>2564</c:v>
                </c:pt>
                <c:pt idx="10">
                  <c:v>2544</c:v>
                </c:pt>
                <c:pt idx="11">
                  <c:v>2611</c:v>
                </c:pt>
                <c:pt idx="12">
                  <c:v>2755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6128128"/>
        <c:axId val="216129920"/>
      </c:lineChart>
      <c:catAx>
        <c:axId val="216128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16129920"/>
        <c:crosses val="autoZero"/>
        <c:auto val="1"/>
        <c:lblAlgn val="ctr"/>
        <c:lblOffset val="100"/>
        <c:noMultiLvlLbl val="0"/>
      </c:catAx>
      <c:valAx>
        <c:axId val="216129920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161281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859506921929305"/>
          <c:y val="0.1883157929056255"/>
          <c:w val="0.14280944795892803"/>
          <c:h val="0.44330966265373084"/>
        </c:manualLayout>
      </c:layout>
      <c:overlay val="0"/>
      <c:txPr>
        <a:bodyPr/>
        <a:lstStyle/>
        <a:p>
          <a:pPr>
            <a:defRPr lang="el-GR"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200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ανέργων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200" b="1" i="0" u="none" strike="noStrike" baseline="0">
                <a:solidFill>
                  <a:srgbClr val="000000"/>
                </a:solidFill>
                <a:latin typeface="Calibri"/>
              </a:rPr>
              <a:t>κατά διάρκεια εγγραφής τους τελευταίους 12 μήνες</a:t>
            </a:r>
            <a:r>
              <a:rPr lang="en-US" sz="1799" b="1" i="0" u="none" strike="noStrike" baseline="0">
                <a:solidFill>
                  <a:srgbClr val="000000"/>
                </a:solidFill>
                <a:latin typeface="Calibri"/>
              </a:rPr>
              <a:t> </a:t>
            </a:r>
          </a:p>
        </c:rich>
      </c:tx>
      <c:layout>
        <c:manualLayout>
          <c:xMode val="edge"/>
          <c:yMode val="edge"/>
          <c:x val="0.13615026246719161"/>
          <c:y val="3.5842404945283478E-2"/>
        </c:manualLayout>
      </c:layout>
      <c:overlay val="0"/>
      <c:spPr>
        <a:noFill/>
        <a:ln w="2539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533734735810271"/>
          <c:y val="0.20660076762351737"/>
          <c:w val="0.65944704164689993"/>
          <c:h val="0.38490536115010437"/>
        </c:manualLayout>
      </c:layout>
      <c:lineChart>
        <c:grouping val="standard"/>
        <c:varyColors val="0"/>
        <c:ser>
          <c:idx val="0"/>
          <c:order val="0"/>
          <c:tx>
            <c:strRef>
              <c:f>'διάρκεια '!$A$9</c:f>
              <c:strCache>
                <c:ptCount val="1"/>
                <c:pt idx="0">
                  <c:v>6 μήνες και πάνω</c:v>
                </c:pt>
              </c:strCache>
            </c:strRef>
          </c:tx>
          <c:marker>
            <c:symbol val="none"/>
          </c:marker>
          <c:cat>
            <c:multiLvlStrRef>
              <c:f>'διάρκεια '!$AC$1:$AO$2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2019</c:v>
                  </c:pt>
                  <c:pt idx="9">
                    <c:v>2020</c:v>
                  </c:pt>
                </c:lvl>
              </c:multiLvlStrCache>
            </c:multiLvlStrRef>
          </c:cat>
          <c:val>
            <c:numRef>
              <c:f>'διάρκεια '!$AC$9:$AO$9</c:f>
              <c:numCache>
                <c:formatCode>General</c:formatCode>
                <c:ptCount val="13"/>
                <c:pt idx="0">
                  <c:v>8657</c:v>
                </c:pt>
                <c:pt idx="1">
                  <c:v>8300</c:v>
                </c:pt>
                <c:pt idx="2">
                  <c:v>7689</c:v>
                </c:pt>
                <c:pt idx="3">
                  <c:v>7497</c:v>
                </c:pt>
                <c:pt idx="4">
                  <c:v>7250</c:v>
                </c:pt>
                <c:pt idx="5">
                  <c:v>6882</c:v>
                </c:pt>
                <c:pt idx="6">
                  <c:v>6500</c:v>
                </c:pt>
                <c:pt idx="7">
                  <c:v>6379</c:v>
                </c:pt>
                <c:pt idx="8">
                  <c:v>6275</c:v>
                </c:pt>
                <c:pt idx="9">
                  <c:v>6184</c:v>
                </c:pt>
                <c:pt idx="10">
                  <c:v>6133</c:v>
                </c:pt>
                <c:pt idx="11">
                  <c:v>6894</c:v>
                </c:pt>
                <c:pt idx="12">
                  <c:v>9204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'διάρκεια '!$A$8</c:f>
              <c:strCache>
                <c:ptCount val="1"/>
                <c:pt idx="0">
                  <c:v>12 μήνες και πάνω</c:v>
                </c:pt>
              </c:strCache>
            </c:strRef>
          </c:tx>
          <c:cat>
            <c:multiLvlStrRef>
              <c:f>'διάρκεια '!$AC$1:$AO$2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2019</c:v>
                  </c:pt>
                  <c:pt idx="9">
                    <c:v>2020</c:v>
                  </c:pt>
                </c:lvl>
              </c:multiLvlStrCache>
            </c:multiLvlStrRef>
          </c:cat>
          <c:val>
            <c:numRef>
              <c:f>'διάρκεια '!$AC$8:$AO$8</c:f>
              <c:numCache>
                <c:formatCode>#,##0</c:formatCode>
                <c:ptCount val="13"/>
                <c:pt idx="0">
                  <c:v>4796</c:v>
                </c:pt>
                <c:pt idx="1">
                  <c:v>4594</c:v>
                </c:pt>
                <c:pt idx="2">
                  <c:v>4420</c:v>
                </c:pt>
                <c:pt idx="3">
                  <c:v>4136</c:v>
                </c:pt>
                <c:pt idx="4">
                  <c:v>3992</c:v>
                </c:pt>
                <c:pt idx="5">
                  <c:v>3982</c:v>
                </c:pt>
                <c:pt idx="6">
                  <c:v>3821</c:v>
                </c:pt>
                <c:pt idx="7">
                  <c:v>3715</c:v>
                </c:pt>
                <c:pt idx="8">
                  <c:v>3478</c:v>
                </c:pt>
                <c:pt idx="9">
                  <c:v>3454</c:v>
                </c:pt>
                <c:pt idx="10">
                  <c:v>3369</c:v>
                </c:pt>
                <c:pt idx="11">
                  <c:v>3423</c:v>
                </c:pt>
                <c:pt idx="12">
                  <c:v>3615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'διάρκεια '!$A$5</c:f>
              <c:strCache>
                <c:ptCount val="1"/>
                <c:pt idx="0">
                  <c:v>κάτω από 3 μήνες</c:v>
                </c:pt>
              </c:strCache>
            </c:strRef>
          </c:tx>
          <c:marker>
            <c:symbol val="none"/>
          </c:marker>
          <c:cat>
            <c:multiLvlStrRef>
              <c:f>'διάρκεια '!$AC$1:$AO$2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2019</c:v>
                  </c:pt>
                  <c:pt idx="9">
                    <c:v>2020</c:v>
                  </c:pt>
                </c:lvl>
              </c:multiLvlStrCache>
            </c:multiLvlStrRef>
          </c:cat>
          <c:val>
            <c:numRef>
              <c:f>'διάρκεια '!$AC$5:$AO$5</c:f>
              <c:numCache>
                <c:formatCode>#,##0</c:formatCode>
                <c:ptCount val="13"/>
                <c:pt idx="0">
                  <c:v>5790</c:v>
                </c:pt>
                <c:pt idx="1">
                  <c:v>5815</c:v>
                </c:pt>
                <c:pt idx="2">
                  <c:v>8126</c:v>
                </c:pt>
                <c:pt idx="3">
                  <c:v>10405</c:v>
                </c:pt>
                <c:pt idx="4">
                  <c:v>9701</c:v>
                </c:pt>
                <c:pt idx="5">
                  <c:v>6563</c:v>
                </c:pt>
                <c:pt idx="6">
                  <c:v>6686</c:v>
                </c:pt>
                <c:pt idx="7">
                  <c:v>15176</c:v>
                </c:pt>
                <c:pt idx="8">
                  <c:v>15812</c:v>
                </c:pt>
                <c:pt idx="9">
                  <c:v>15175</c:v>
                </c:pt>
                <c:pt idx="10">
                  <c:v>8651</c:v>
                </c:pt>
                <c:pt idx="11">
                  <c:v>7759</c:v>
                </c:pt>
                <c:pt idx="12">
                  <c:v>7657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6295680"/>
        <c:axId val="216297472"/>
      </c:lineChart>
      <c:catAx>
        <c:axId val="216295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16297472"/>
        <c:crosses val="autoZero"/>
        <c:auto val="1"/>
        <c:lblAlgn val="ctr"/>
        <c:lblOffset val="100"/>
        <c:noMultiLvlLbl val="0"/>
      </c:catAx>
      <c:valAx>
        <c:axId val="216297472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16295680"/>
        <c:crosses val="autoZero"/>
        <c:crossBetween val="between"/>
        <c:majorUnit val="3000"/>
      </c:valAx>
    </c:plotArea>
    <c:legend>
      <c:legendPos val="r"/>
      <c:layout>
        <c:manualLayout>
          <c:xMode val="edge"/>
          <c:yMode val="edge"/>
          <c:x val="0.77067669172932329"/>
          <c:y val="0.30921052631578955"/>
          <c:w val="0.22932330827067668"/>
          <c:h val="0.20614035087719301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 sz="1200"/>
            </a:pPr>
            <a:r>
              <a:rPr lang="el-GR" sz="1200"/>
              <a:t>Διακύμανση του αριθμού των  ανέργων</a:t>
            </a:r>
            <a:r>
              <a:rPr lang="en-US" sz="1200"/>
              <a:t> </a:t>
            </a:r>
            <a:r>
              <a:rPr lang="el-GR" sz="1200"/>
              <a:t> κατά</a:t>
            </a:r>
            <a:r>
              <a:rPr lang="el-GR" sz="1200" baseline="0"/>
              <a:t> εθνότητα</a:t>
            </a:r>
            <a:r>
              <a:rPr lang="en-US" sz="1200"/>
              <a:t> </a:t>
            </a:r>
            <a:r>
              <a:rPr lang="el-GR" sz="1200"/>
              <a:t> </a:t>
            </a:r>
          </a:p>
          <a:p>
            <a:pPr>
              <a:defRPr lang="el-GR" sz="1200"/>
            </a:pPr>
            <a:r>
              <a:rPr lang="el-GR" sz="1200"/>
              <a:t>τους τελευταίους 12 μήνες </a:t>
            </a:r>
          </a:p>
        </c:rich>
      </c:tx>
      <c:layout>
        <c:manualLayout>
          <c:xMode val="edge"/>
          <c:yMode val="edge"/>
          <c:x val="0.25091619969845091"/>
          <c:y val="3.745332050752243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6150841969498288E-2"/>
          <c:y val="0.24094960040107644"/>
          <c:w val="0.58061855670103057"/>
          <c:h val="0.31710480010223896"/>
        </c:manualLayout>
      </c:layout>
      <c:lineChart>
        <c:grouping val="standard"/>
        <c:varyColors val="0"/>
        <c:ser>
          <c:idx val="0"/>
          <c:order val="0"/>
          <c:tx>
            <c:strRef>
              <c:f>'υπηκοότητα '!$A$4</c:f>
              <c:strCache>
                <c:ptCount val="1"/>
                <c:pt idx="0">
                  <c:v>ΑΤΟΜΑ ΑΠΟ ΕΕ</c:v>
                </c:pt>
              </c:strCache>
            </c:strRef>
          </c:tx>
          <c:marker>
            <c:symbol val="none"/>
          </c:marker>
          <c:cat>
            <c:multiLvlStrRef>
              <c:f>'υπηκοότητα '!$BA$1:$BM$2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2019</c:v>
                  </c:pt>
                  <c:pt idx="9">
                    <c:v>2020</c:v>
                  </c:pt>
                </c:lvl>
              </c:multiLvlStrCache>
            </c:multiLvlStrRef>
          </c:cat>
          <c:val>
            <c:numRef>
              <c:f>'υπηκοότητα '!$BA$4:$BM$4</c:f>
              <c:numCache>
                <c:formatCode>General</c:formatCode>
                <c:ptCount val="13"/>
                <c:pt idx="0">
                  <c:v>3279</c:v>
                </c:pt>
                <c:pt idx="1">
                  <c:v>2334</c:v>
                </c:pt>
                <c:pt idx="2">
                  <c:v>2332</c:v>
                </c:pt>
                <c:pt idx="3">
                  <c:v>2405</c:v>
                </c:pt>
                <c:pt idx="4">
                  <c:v>2278</c:v>
                </c:pt>
                <c:pt idx="5">
                  <c:v>2278</c:v>
                </c:pt>
                <c:pt idx="6">
                  <c:v>2586</c:v>
                </c:pt>
                <c:pt idx="7">
                  <c:v>6266</c:v>
                </c:pt>
                <c:pt idx="8">
                  <c:v>6810</c:v>
                </c:pt>
                <c:pt idx="9">
                  <c:v>7137</c:v>
                </c:pt>
                <c:pt idx="10">
                  <c:v>6870</c:v>
                </c:pt>
                <c:pt idx="11">
                  <c:v>6874</c:v>
                </c:pt>
                <c:pt idx="12">
                  <c:v>7404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'υπηκοότητα '!$A$5</c:f>
              <c:strCache>
                <c:ptCount val="1"/>
                <c:pt idx="0">
                  <c:v>ΠΟΝΤΙΟΙ</c:v>
                </c:pt>
              </c:strCache>
            </c:strRef>
          </c:tx>
          <c:cat>
            <c:multiLvlStrRef>
              <c:f>'υπηκοότητα '!$BA$1:$BM$2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2019</c:v>
                  </c:pt>
                  <c:pt idx="9">
                    <c:v>2020</c:v>
                  </c:pt>
                </c:lvl>
              </c:multiLvlStrCache>
            </c:multiLvlStrRef>
          </c:cat>
          <c:val>
            <c:numRef>
              <c:f>'υπηκοότητα '!$BA$5:$BM$5</c:f>
              <c:numCache>
                <c:formatCode>General</c:formatCode>
                <c:ptCount val="13"/>
                <c:pt idx="0">
                  <c:v>709</c:v>
                </c:pt>
                <c:pt idx="1">
                  <c:v>556</c:v>
                </c:pt>
                <c:pt idx="2">
                  <c:v>537</c:v>
                </c:pt>
                <c:pt idx="3">
                  <c:v>513</c:v>
                </c:pt>
                <c:pt idx="4">
                  <c:v>474</c:v>
                </c:pt>
                <c:pt idx="5">
                  <c:v>504</c:v>
                </c:pt>
                <c:pt idx="6">
                  <c:v>518</c:v>
                </c:pt>
                <c:pt idx="7">
                  <c:v>775</c:v>
                </c:pt>
                <c:pt idx="8">
                  <c:v>834</c:v>
                </c:pt>
                <c:pt idx="9">
                  <c:v>866</c:v>
                </c:pt>
                <c:pt idx="10">
                  <c:v>843</c:v>
                </c:pt>
                <c:pt idx="11">
                  <c:v>847</c:v>
                </c:pt>
                <c:pt idx="12">
                  <c:v>915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'υπηκοότητα '!$A$8</c:f>
              <c:strCache>
                <c:ptCount val="1"/>
                <c:pt idx="0">
                  <c:v>ΑΤΟΜΑ ΜΕ ΚΑΘΕΣΤΩΣ ΣΥΜΠΛΗΡ. ΠΡΟΣΤΑΣΙΑΣ</c:v>
                </c:pt>
              </c:strCache>
            </c:strRef>
          </c:tx>
          <c:spPr>
            <a:ln w="31750">
              <a:prstDash val="sysDash"/>
            </a:ln>
          </c:spPr>
          <c:marker>
            <c:symbol val="none"/>
          </c:marker>
          <c:cat>
            <c:multiLvlStrRef>
              <c:f>'υπηκοότητα '!$BA$1:$BM$2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2019</c:v>
                  </c:pt>
                  <c:pt idx="9">
                    <c:v>2020</c:v>
                  </c:pt>
                </c:lvl>
              </c:multiLvlStrCache>
            </c:multiLvlStrRef>
          </c:cat>
          <c:val>
            <c:numRef>
              <c:f>'υπηκοότητα '!$BA$8:$BM$8</c:f>
              <c:numCache>
                <c:formatCode>General</c:formatCode>
                <c:ptCount val="13"/>
                <c:pt idx="0">
                  <c:v>623</c:v>
                </c:pt>
                <c:pt idx="1">
                  <c:v>567</c:v>
                </c:pt>
                <c:pt idx="2">
                  <c:v>525</c:v>
                </c:pt>
                <c:pt idx="3">
                  <c:v>509</c:v>
                </c:pt>
                <c:pt idx="4">
                  <c:v>486</c:v>
                </c:pt>
                <c:pt idx="5">
                  <c:v>497</c:v>
                </c:pt>
                <c:pt idx="6">
                  <c:v>475</c:v>
                </c:pt>
                <c:pt idx="7">
                  <c:v>476</c:v>
                </c:pt>
                <c:pt idx="8">
                  <c:v>465</c:v>
                </c:pt>
                <c:pt idx="9">
                  <c:v>490</c:v>
                </c:pt>
                <c:pt idx="10">
                  <c:v>480</c:v>
                </c:pt>
                <c:pt idx="11">
                  <c:v>504</c:v>
                </c:pt>
                <c:pt idx="12">
                  <c:v>519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'υπηκοότητα '!$A$3</c:f>
              <c:strCache>
                <c:ptCount val="1"/>
                <c:pt idx="0">
                  <c:v>ΕΛΛΗΝΟΚΥΠΡΙΟΙ</c:v>
                </c:pt>
              </c:strCache>
            </c:strRef>
          </c:tx>
          <c:cat>
            <c:multiLvlStrRef>
              <c:f>'υπηκοότητα '!$BA$1:$BM$2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2019</c:v>
                  </c:pt>
                  <c:pt idx="9">
                    <c:v>2020</c:v>
                  </c:pt>
                </c:lvl>
              </c:multiLvlStrCache>
            </c:multiLvlStrRef>
          </c:cat>
          <c:val>
            <c:numRef>
              <c:f>'υπηκοότητα '!$BA$3:$BM$3</c:f>
              <c:numCache>
                <c:formatCode>General</c:formatCode>
                <c:ptCount val="13"/>
                <c:pt idx="0">
                  <c:v>14429</c:v>
                </c:pt>
                <c:pt idx="1">
                  <c:v>13066</c:v>
                </c:pt>
                <c:pt idx="2">
                  <c:v>14520</c:v>
                </c:pt>
                <c:pt idx="3">
                  <c:v>16081</c:v>
                </c:pt>
                <c:pt idx="4">
                  <c:v>15644</c:v>
                </c:pt>
                <c:pt idx="5">
                  <c:v>12674</c:v>
                </c:pt>
                <c:pt idx="6">
                  <c:v>11921</c:v>
                </c:pt>
                <c:pt idx="7">
                  <c:v>15352</c:v>
                </c:pt>
                <c:pt idx="8">
                  <c:v>15490</c:v>
                </c:pt>
                <c:pt idx="9">
                  <c:v>15998</c:v>
                </c:pt>
                <c:pt idx="10">
                  <c:v>15686</c:v>
                </c:pt>
                <c:pt idx="11">
                  <c:v>16354</c:v>
                </c:pt>
                <c:pt idx="12">
                  <c:v>17832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6803968"/>
        <c:axId val="216805760"/>
      </c:lineChart>
      <c:catAx>
        <c:axId val="216803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216805760"/>
        <c:crosses val="autoZero"/>
        <c:auto val="1"/>
        <c:lblAlgn val="ctr"/>
        <c:lblOffset val="100"/>
        <c:noMultiLvlLbl val="0"/>
      </c:catAx>
      <c:valAx>
        <c:axId val="2168057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216803968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67948839480381973"/>
          <c:y val="0.23595591919738923"/>
          <c:w val="0.27419781603474608"/>
          <c:h val="0.55862642169728782"/>
        </c:manualLayout>
      </c:layout>
      <c:overlay val="0"/>
      <c:txPr>
        <a:bodyPr/>
        <a:lstStyle/>
        <a:p>
          <a:pPr>
            <a:defRPr lang="el-GR" sz="800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/>
            </a:pPr>
            <a:r>
              <a:rPr lang="el-GR" sz="1200"/>
              <a:t>κατά μορφωτικό επίπεδο τους τελευταίους 12 μήνες </a:t>
            </a:r>
          </a:p>
        </c:rich>
      </c:tx>
      <c:layout>
        <c:manualLayout>
          <c:xMode val="edge"/>
          <c:yMode val="edge"/>
          <c:x val="0.16719448255125696"/>
          <c:y val="3.252584792478720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949185405878319"/>
          <c:y val="0.21607923110330879"/>
          <c:w val="0.59834598377905457"/>
          <c:h val="0.29523140542683929"/>
        </c:manualLayout>
      </c:layout>
      <c:lineChart>
        <c:grouping val="standard"/>
        <c:varyColors val="0"/>
        <c:ser>
          <c:idx val="1"/>
          <c:order val="0"/>
          <c:tx>
            <c:strRef>
              <c:f>μόρφωση!$A$8</c:f>
              <c:strCache>
                <c:ptCount val="1"/>
                <c:pt idx="0">
                  <c:v>Δευτεροβάθμια Εκπαίδευση</c:v>
                </c:pt>
              </c:strCache>
            </c:strRef>
          </c:tx>
          <c:cat>
            <c:multiLvlStrRef>
              <c:f>μόρφωση!$AC$1:$AO$2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2019</c:v>
                  </c:pt>
                  <c:pt idx="9">
                    <c:v>2020</c:v>
                  </c:pt>
                </c:lvl>
              </c:multiLvlStrCache>
            </c:multiLvlStrRef>
          </c:cat>
          <c:val>
            <c:numRef>
              <c:f>μόρφωση!$AC$8:$AO$8</c:f>
              <c:numCache>
                <c:formatCode>#,##0</c:formatCode>
                <c:ptCount val="13"/>
                <c:pt idx="0">
                  <c:v>10088</c:v>
                </c:pt>
                <c:pt idx="1">
                  <c:v>8603</c:v>
                </c:pt>
                <c:pt idx="2">
                  <c:v>8822</c:v>
                </c:pt>
                <c:pt idx="3">
                  <c:v>9270</c:v>
                </c:pt>
                <c:pt idx="4">
                  <c:v>8918</c:v>
                </c:pt>
                <c:pt idx="5">
                  <c:v>8096</c:v>
                </c:pt>
                <c:pt idx="6">
                  <c:v>7999</c:v>
                </c:pt>
                <c:pt idx="7">
                  <c:v>11945</c:v>
                </c:pt>
                <c:pt idx="8">
                  <c:v>12223</c:v>
                </c:pt>
                <c:pt idx="9">
                  <c:v>12645</c:v>
                </c:pt>
                <c:pt idx="10">
                  <c:v>12391</c:v>
                </c:pt>
                <c:pt idx="11">
                  <c:v>12702</c:v>
                </c:pt>
                <c:pt idx="12">
                  <c:v>13630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μόρφωση!$A$9</c:f>
              <c:strCache>
                <c:ptCount val="1"/>
                <c:pt idx="0">
                  <c:v>Τριτοβάθμια Εκπαίδευση</c:v>
                </c:pt>
              </c:strCache>
            </c:strRef>
          </c:tx>
          <c:cat>
            <c:multiLvlStrRef>
              <c:f>μόρφωση!$AC$1:$AO$2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2019</c:v>
                  </c:pt>
                  <c:pt idx="9">
                    <c:v>2020</c:v>
                  </c:pt>
                </c:lvl>
              </c:multiLvlStrCache>
            </c:multiLvlStrRef>
          </c:cat>
          <c:val>
            <c:numRef>
              <c:f>μόρφωση!$AC$9:$AO$9</c:f>
              <c:numCache>
                <c:formatCode>#,##0</c:formatCode>
                <c:ptCount val="13"/>
                <c:pt idx="0">
                  <c:v>6160</c:v>
                </c:pt>
                <c:pt idx="1">
                  <c:v>5896</c:v>
                </c:pt>
                <c:pt idx="2">
                  <c:v>7231</c:v>
                </c:pt>
                <c:pt idx="3">
                  <c:v>8411</c:v>
                </c:pt>
                <c:pt idx="4">
                  <c:v>8210</c:v>
                </c:pt>
                <c:pt idx="5">
                  <c:v>6115</c:v>
                </c:pt>
                <c:pt idx="6">
                  <c:v>5505</c:v>
                </c:pt>
                <c:pt idx="7">
                  <c:v>6155</c:v>
                </c:pt>
                <c:pt idx="8">
                  <c:v>6111</c:v>
                </c:pt>
                <c:pt idx="9">
                  <c:v>6303</c:v>
                </c:pt>
                <c:pt idx="10">
                  <c:v>6258</c:v>
                </c:pt>
                <c:pt idx="11">
                  <c:v>6691</c:v>
                </c:pt>
                <c:pt idx="12">
                  <c:v>7456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μόρφωση!$A$5</c:f>
              <c:strCache>
                <c:ptCount val="1"/>
                <c:pt idx="0">
                  <c:v>Πρωτοβάθμια Εκπαίδευση</c:v>
                </c:pt>
              </c:strCache>
            </c:strRef>
          </c:tx>
          <c:marker>
            <c:symbol val="none"/>
          </c:marker>
          <c:cat>
            <c:multiLvlStrRef>
              <c:f>μόρφωση!$AC$1:$AO$2</c:f>
              <c:multiLvlStrCache>
                <c:ptCount val="13"/>
                <c:lvl>
                  <c:pt idx="0">
                    <c:v>Απρίλιος</c:v>
                  </c:pt>
                  <c:pt idx="1">
                    <c:v>Μάιος</c:v>
                  </c:pt>
                  <c:pt idx="2">
                    <c:v>Ιούνιος</c:v>
                  </c:pt>
                  <c:pt idx="3">
                    <c:v>Ιούλιος</c:v>
                  </c:pt>
                  <c:pt idx="4">
                    <c:v>Αύγουστος</c:v>
                  </c:pt>
                  <c:pt idx="5">
                    <c:v>Σεπτέμβριος</c:v>
                  </c:pt>
                  <c:pt idx="6">
                    <c:v>Οκτώβριος</c:v>
                  </c:pt>
                  <c:pt idx="7">
                    <c:v>Νοέμβριος</c:v>
                  </c:pt>
                  <c:pt idx="8">
                    <c:v>Δεκέμβριος</c:v>
                  </c:pt>
                  <c:pt idx="9">
                    <c:v>Ιανουάριος</c:v>
                  </c:pt>
                  <c:pt idx="10">
                    <c:v>Φεβρουάριος</c:v>
                  </c:pt>
                  <c:pt idx="11">
                    <c:v>Μάρτιος</c:v>
                  </c:pt>
                  <c:pt idx="12">
                    <c:v>Απρίλιος</c:v>
                  </c:pt>
                </c:lvl>
                <c:lvl>
                  <c:pt idx="0">
                    <c:v>2019</c:v>
                  </c:pt>
                  <c:pt idx="9">
                    <c:v>2020</c:v>
                  </c:pt>
                </c:lvl>
              </c:multiLvlStrCache>
            </c:multiLvlStrRef>
          </c:cat>
          <c:val>
            <c:numRef>
              <c:f>μόρφωση!$AC$5:$AO$5</c:f>
              <c:numCache>
                <c:formatCode>#,##0</c:formatCode>
                <c:ptCount val="13"/>
                <c:pt idx="0">
                  <c:v>4067</c:v>
                </c:pt>
                <c:pt idx="1">
                  <c:v>3108</c:v>
                </c:pt>
                <c:pt idx="2">
                  <c:v>2907</c:v>
                </c:pt>
                <c:pt idx="3">
                  <c:v>2901</c:v>
                </c:pt>
                <c:pt idx="4">
                  <c:v>2755</c:v>
                </c:pt>
                <c:pt idx="5">
                  <c:v>2757</c:v>
                </c:pt>
                <c:pt idx="6">
                  <c:v>3040</c:v>
                </c:pt>
                <c:pt idx="7">
                  <c:v>6395</c:v>
                </c:pt>
                <c:pt idx="8">
                  <c:v>6951</c:v>
                </c:pt>
                <c:pt idx="9">
                  <c:v>7266</c:v>
                </c:pt>
                <c:pt idx="10">
                  <c:v>6971</c:v>
                </c:pt>
                <c:pt idx="11">
                  <c:v>6960</c:v>
                </c:pt>
                <c:pt idx="12">
                  <c:v>7505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6823680"/>
        <c:axId val="216825216"/>
      </c:lineChart>
      <c:catAx>
        <c:axId val="216823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216825216"/>
        <c:crosses val="autoZero"/>
        <c:auto val="1"/>
        <c:lblAlgn val="ctr"/>
        <c:lblOffset val="100"/>
        <c:noMultiLvlLbl val="0"/>
      </c:catAx>
      <c:valAx>
        <c:axId val="216825216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216823680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73774062729032686"/>
          <c:y val="0.21780104910888681"/>
          <c:w val="0.24643224113512563"/>
          <c:h val="0.39561740028398462"/>
        </c:manualLayout>
      </c:layout>
      <c:overlay val="0"/>
      <c:txPr>
        <a:bodyPr/>
        <a:lstStyle/>
        <a:p>
          <a:pPr>
            <a:defRPr lang="el-GR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BE4EF-D628-4A92-AA2E-6DAA1A332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5380</TotalTime>
  <Pages>14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ΤΜΗΜΑ ΕΡΓΑΣΙΑΣ</vt:lpstr>
    </vt:vector>
  </TitlesOfParts>
  <Company>Hewlett-Packard Company</Company>
  <LinksUpToDate>false</LinksUpToDate>
  <CharactersWithSpaces>14465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ΕΡΓΑΣΙΑΣ</dc:title>
  <dc:creator>Rigou  Marina</dc:creator>
  <cp:lastModifiedBy>Administrator</cp:lastModifiedBy>
  <cp:revision>376</cp:revision>
  <cp:lastPrinted>2020-05-22T07:07:00Z</cp:lastPrinted>
  <dcterms:created xsi:type="dcterms:W3CDTF">2018-05-03T10:00:00Z</dcterms:created>
  <dcterms:modified xsi:type="dcterms:W3CDTF">2020-05-22T07:40:00Z</dcterms:modified>
</cp:coreProperties>
</file>